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4CFC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A1046C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46C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609600</wp:posOffset>
            </wp:positionV>
            <wp:extent cx="914400" cy="39751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Edyth Orellana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Juan Carlos Araujo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José Villao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GREEN TOURISM &amp; ADVENTURE 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proyecto de GREEN TOURISM &amp; ADVENTURE consiste en la construcción de 10 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cabañas de diseño rústico ubicadas en la población de Cosanga, Provincia del Napo.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cabañas formarán un complejo turístico equipado para satisfacer todas las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necesidades de visitantes locales e internacionales. 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Mediante la investigación de mercado se</w:t>
      </w:r>
      <w:r>
        <w:rPr>
          <w:rFonts w:ascii="Times New Roman" w:hAnsi="Times New Roman" w:cs="Times New Roman"/>
          <w:color w:val="000000"/>
        </w:rPr>
        <w:t xml:space="preserve"> determinó una creciente demanda de servicios 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relacionados con ecoturismo y turismo de aventura. Las características del cliente que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busca este tipo de servicios están descritas como personas con alto nivel de educación,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preocupación por la protección del medio ambiente, orientados a vivir nuevas 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experiencias y con alta capacidad de pago pero que está más dispuesto a aceptar las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costumbres locales.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estudio de mercados nos permitió determinar dos tipos de segmentos: 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primero,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perteneciente al ciclo de vida familiar Nido Lleno 2, esto es, familias cuyo hijo menor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tenga mas de 6 años, y el segundo segmento, hombres o mujeres en busca de aventura y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preocupados por temas ambientales y de preservación de la naturaleza (adu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ltos, adultos 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jóvenes y seniors).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Nuestra empresa contará con un máximo de 25 empleados durante la temporada alta.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proyecto será financiado con 100% de capital propio de los socios. La inversión total</w:t>
      </w:r>
    </w:p>
    <w:p w:rsidR="00000000" w:rsidRDefault="00604CFC">
      <w:pPr>
        <w:widowControl w:val="0"/>
        <w:tabs>
          <w:tab w:val="left" w:pos="5346"/>
        </w:tabs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 proyecto ascenderá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US$ 233.045,97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y está 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nformado por aportes iguales de 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capital de cada uno de los 6 empresarios que conforman el grupo.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estudio financiero arroja una tasa de rendimiento sobre la inversión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TIR del 25.06%,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valor actual neto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 de US$ 91.961,09 con una tasa de descuento del 15%.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Esto nos demuestra la factibilidad y rentabilidad que podría proporcionar este proyecto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decide implementarlo.</w:t>
      </w: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04CFC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604CFC" w:rsidRDefault="00604CFC">
      <w:pPr>
        <w:widowControl w:val="0"/>
        <w:autoSpaceDE w:val="0"/>
        <w:autoSpaceDN w:val="0"/>
        <w:adjustRightInd w:val="0"/>
        <w:spacing w:after="0" w:line="28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604CFC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046C"/>
    <w:rsid w:val="00604CFC"/>
    <w:rsid w:val="00A1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2010-05-28T05:51:00Z</dcterms:created>
  <dcterms:modified xsi:type="dcterms:W3CDTF">2010-05-28T05:51:00Z</dcterms:modified>
</cp:coreProperties>
</file>