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7273">
      <w:pPr>
        <w:pStyle w:val="CM2"/>
      </w:pPr>
      <w:r>
        <w:rPr>
          <w:b/>
          <w:bCs/>
        </w:rPr>
        <w:t xml:space="preserve">ESTADO DE RESULTADOS (ER) </w:t>
      </w:r>
    </w:p>
    <w:p w:rsidR="00000000" w:rsidRDefault="002B7273">
      <w:pPr>
        <w:pStyle w:val="CM2"/>
        <w:jc w:val="center"/>
      </w:pPr>
      <w:r>
        <w:t xml:space="preserve">Partamos de un ER básico pero elemental, siguiendo con el negocio de Don Gino: </w:t>
      </w:r>
    </w:p>
    <w:p w:rsidR="00000000" w:rsidRDefault="002B7273">
      <w:pPr>
        <w:pStyle w:val="Default"/>
        <w:spacing w:after="88" w:line="256" w:lineRule="atLeast"/>
        <w:ind w:left="3700" w:right="2533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DON GINO CIA. LTDA.</w:t>
      </w:r>
      <w:r>
        <w:rPr>
          <w:color w:val="auto"/>
          <w:sz w:val="20"/>
          <w:szCs w:val="20"/>
        </w:rPr>
        <w:br/>
        <w:t>Estado de Resultados</w:t>
      </w:r>
      <w:r>
        <w:rPr>
          <w:color w:val="auto"/>
          <w:sz w:val="20"/>
          <w:szCs w:val="20"/>
        </w:rPr>
        <w:br/>
        <w:t>Al 30 de Noviembre de 2009</w:t>
      </w:r>
      <w:r>
        <w:rPr>
          <w:color w:val="auto"/>
          <w:sz w:val="20"/>
          <w:szCs w:val="20"/>
        </w:rPr>
        <w:br/>
      </w:r>
    </w:p>
    <w:tbl>
      <w:tblPr>
        <w:tblW w:w="5455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3024"/>
        <w:gridCol w:w="1138"/>
        <w:gridCol w:w="129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2B72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Ventas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2B7273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2B727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1.340,00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2B72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(-) Costo de productos vendidos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2B7273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2B727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780,00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2B727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(=) Utilidad bruta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2B7273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2B727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560,00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2B7273">
            <w:pPr>
              <w:pStyle w:val="Default"/>
              <w:rPr>
                <w:color w:val="auto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2B7273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2B7273">
            <w:pPr>
              <w:pStyle w:val="Default"/>
              <w:jc w:val="righ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2B72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(-) Gastos Operacionales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2B7273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2B727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410,00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2B72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Gastos de alquiler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000000" w:rsidRDefault="002B727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300,00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2B7273">
            <w:pPr>
              <w:pStyle w:val="Default"/>
              <w:jc w:val="righ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2B72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Servicios básicos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000000" w:rsidRDefault="002B727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50,00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2B7273">
            <w:pPr>
              <w:pStyle w:val="Default"/>
              <w:jc w:val="righ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2B72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Gastos de publicidad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000000" w:rsidRDefault="002B727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60,00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2B7273">
            <w:pPr>
              <w:pStyle w:val="Default"/>
              <w:jc w:val="righ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2B727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(=) Utilidad Operacional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2B7273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2B727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150,00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2B7273">
            <w:pPr>
              <w:pStyle w:val="Default"/>
              <w:rPr>
                <w:color w:val="auto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2B7273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2B7273">
            <w:pPr>
              <w:pStyle w:val="Default"/>
              <w:jc w:val="righ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000000" w:rsidRDefault="002B72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(+/-) Ingresos y Gastos No Operacionales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2B727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2B72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Gastos por intereses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000000" w:rsidRDefault="002B727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43,00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2B7273">
            <w:pPr>
              <w:pStyle w:val="Default"/>
              <w:jc w:val="righ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2B727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(=) Utilidad Neta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2B7273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2B727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107,00 </w:t>
            </w:r>
          </w:p>
        </w:tc>
      </w:tr>
    </w:tbl>
    <w:p w:rsidR="00000000" w:rsidRDefault="002B7273">
      <w:pPr>
        <w:pStyle w:val="Default"/>
        <w:rPr>
          <w:color w:val="auto"/>
        </w:rPr>
      </w:pPr>
    </w:p>
    <w:p w:rsidR="00000000" w:rsidRDefault="002B7273">
      <w:pPr>
        <w:pStyle w:val="CM2"/>
        <w:spacing w:line="276" w:lineRule="atLeast"/>
        <w:jc w:val="both"/>
      </w:pPr>
      <w:r>
        <w:t>Empecemos relacionando la teoría con el día a día de nuestra microempresa: Le pregunto, ¿cuál es el objetivo de poner un negocio? Seguramente estará</w:t>
      </w:r>
      <w:r>
        <w:t xml:space="preserve"> contestando: obtener una ganancia. Correcto, ese es el fin. Pero ¿cuáles son los medios? ¿por dónde deberá empezar? Me imagino contestará: vendiendo un bien o un servicio (comida en nuestro ejemplo), pero hacerlo no será a cero costo, ¿verdad? Entonces, d</w:t>
      </w:r>
      <w:r>
        <w:t xml:space="preserve">eberá tener claro en qué costos y gastos incurrirá para vender su producto final. </w:t>
      </w:r>
    </w:p>
    <w:p w:rsidR="00000000" w:rsidRDefault="002B7273">
      <w:pPr>
        <w:pStyle w:val="CM2"/>
        <w:spacing w:line="276" w:lineRule="atLeast"/>
        <w:jc w:val="both"/>
      </w:pPr>
      <w:r>
        <w:t xml:space="preserve">Pero, diferenciemos el costo del gasto. El costo está directamente relacionado con la generación del bien o del servicio, mientras que el gasto está asociado indirectamente </w:t>
      </w:r>
      <w:r>
        <w:t xml:space="preserve">y tiene el objetivo de brindar las condiciones para la comercialización del producto y el normal funcionamiento de la empresa. </w:t>
      </w:r>
    </w:p>
    <w:p w:rsidR="00000000" w:rsidRDefault="002B7273">
      <w:pPr>
        <w:pStyle w:val="CM2"/>
        <w:spacing w:line="276" w:lineRule="atLeast"/>
        <w:jc w:val="both"/>
      </w:pPr>
      <w:r>
        <w:t>La información arriba mencionada se resume en el ER y debe hacerse para un periodo específico y de acuerdo a sus necesidades, es</w:t>
      </w:r>
      <w:r>
        <w:t xml:space="preserve"> decir semanal, mensual, trimestral, anual, etc. </w:t>
      </w:r>
    </w:p>
    <w:p w:rsidR="00000000" w:rsidRDefault="002B7273">
      <w:pPr>
        <w:pStyle w:val="CM2"/>
        <w:spacing w:line="276" w:lineRule="atLeast"/>
        <w:jc w:val="both"/>
      </w:pPr>
      <w:r>
        <w:t xml:space="preserve">Así nuestro ER está hecho para un mes, y la primera cuenta refleja los ingresos por las ventas de las comidas. A continuación el </w:t>
      </w:r>
      <w:r>
        <w:rPr>
          <w:i/>
          <w:iCs/>
        </w:rPr>
        <w:t xml:space="preserve">Costo de Productos Vendidos </w:t>
      </w:r>
      <w:r>
        <w:t xml:space="preserve">que incluye todos los elementos que forman parte </w:t>
      </w:r>
      <w:r>
        <w:t>del proceso productivo (carnes, vegetales, condimentos, los cocineros, gas, etc.). La diferencia entre estas cuentas se conoce como Utilidad Bruta, y su nombre se debe a que aún falta por considerar el resto de gastos en los que la empresa ha tenido que in</w:t>
      </w:r>
      <w:r>
        <w:t xml:space="preserve">currir para estar en marcha. A estos rubros se los conoce como </w:t>
      </w:r>
      <w:r>
        <w:rPr>
          <w:i/>
          <w:iCs/>
        </w:rPr>
        <w:t xml:space="preserve">Gastos Operativos </w:t>
      </w:r>
      <w:r>
        <w:t>porque ayudan al funcionamiento pero no forman parte del proceso productivo (por ejemplo, alquiler del local, porque da las condiciones pero no es imprescindible un único luga</w:t>
      </w:r>
      <w:r>
        <w:t xml:space="preserve">r para la elaboración del producto; publicidad, ayuda a conocer el producto pero no es vital para su fabricación; servicios básicos, que incluyen agua, luz y teléfono del local alquilado). </w:t>
      </w:r>
    </w:p>
    <w:p w:rsidR="00000000" w:rsidRDefault="002B7273">
      <w:pPr>
        <w:pStyle w:val="CM2"/>
        <w:spacing w:line="276" w:lineRule="atLeast"/>
        <w:jc w:val="both"/>
      </w:pPr>
      <w:r>
        <w:t>Una vez considerados los Gastos Operacionales debe restarlos de la</w:t>
      </w:r>
      <w:r>
        <w:t xml:space="preserve"> Utilidad Bruta, para obtener la Utilidad Operacional. Faltaría por sumar </w:t>
      </w:r>
      <w:r>
        <w:rPr>
          <w:i/>
          <w:iCs/>
        </w:rPr>
        <w:t xml:space="preserve">Ingresos No Operacionales </w:t>
      </w:r>
      <w:r>
        <w:t xml:space="preserve">(no relacionados con la actividad principal del negocio, como por ejemplo intereses que gane por dinero guardado en el </w:t>
      </w:r>
      <w:r>
        <w:lastRenderedPageBreak/>
        <w:t>banco, es decir ingresos eventuales o</w:t>
      </w:r>
      <w:r>
        <w:t xml:space="preserve"> extraordinarios) y restar </w:t>
      </w:r>
      <w:r>
        <w:rPr>
          <w:i/>
          <w:iCs/>
        </w:rPr>
        <w:t xml:space="preserve">Gastos No Operacionales </w:t>
      </w:r>
      <w:r>
        <w:t xml:space="preserve">(como intereses pagados sobre préstamos que se hayan contraído, como una alternativa, entre varias de financiamiento). Finalmente podrá calcular la </w:t>
      </w:r>
      <w:r>
        <w:rPr>
          <w:i/>
          <w:iCs/>
        </w:rPr>
        <w:t xml:space="preserve">Utilidad Neta </w:t>
      </w:r>
      <w:r>
        <w:t>del periodo para el que haya hecho el estad</w:t>
      </w:r>
      <w:r>
        <w:t xml:space="preserve">o financiero. </w:t>
      </w:r>
    </w:p>
    <w:p w:rsidR="002B7273" w:rsidRDefault="002B7273">
      <w:pPr>
        <w:pStyle w:val="CM1"/>
        <w:jc w:val="both"/>
      </w:pPr>
      <w:r>
        <w:t xml:space="preserve">En este momento le sugiero, detenga la lectura y haga el ejercicio de clasificar los rubros de su negocio en ingresos, costos y gastos y determine si ha obtenido una Utilidad o Pérdida en su periodo analizado. </w:t>
      </w:r>
    </w:p>
    <w:sectPr w:rsidR="002B7273">
      <w:type w:val="continuous"/>
      <w:pgSz w:w="12240" w:h="15840"/>
      <w:pgMar w:top="580" w:right="580" w:bottom="1020" w:left="9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C528A"/>
    <w:rsid w:val="002B7273"/>
    <w:rsid w:val="002C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275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Universo</dc:creator>
  <cp:keywords/>
  <dc:description/>
  <cp:lastModifiedBy>silgivar</cp:lastModifiedBy>
  <cp:revision>2</cp:revision>
  <dcterms:created xsi:type="dcterms:W3CDTF">2010-07-09T15:29:00Z</dcterms:created>
  <dcterms:modified xsi:type="dcterms:W3CDTF">2010-07-09T15:29:00Z</dcterms:modified>
</cp:coreProperties>
</file>