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091">
      <w:pPr>
        <w:pStyle w:val="CM10"/>
        <w:spacing w:line="276" w:lineRule="atLeast"/>
        <w:ind w:left="268" w:right="218"/>
        <w:jc w:val="both"/>
        <w:rPr>
          <w:color w:val="000000"/>
        </w:rPr>
      </w:pPr>
      <w:r>
        <w:rPr>
          <w:color w:val="000000"/>
        </w:rPr>
        <w:t xml:space="preserve">Ahora elaboremos los Estados Financieros a finales de enero de 2010 considerando el efecto de las anteriores transacciones. Empecemos por construir el Estado de Resultados: </w:t>
      </w:r>
    </w:p>
    <w:p w:rsidR="00000000" w:rsidRDefault="00956091">
      <w:pPr>
        <w:pStyle w:val="Default"/>
        <w:ind w:left="1568"/>
      </w:pPr>
      <w:r>
        <w:t xml:space="preserve">“Mi Pequeña Empresa” </w:t>
      </w:r>
    </w:p>
    <w:p w:rsidR="00000000" w:rsidRDefault="00956091">
      <w:pPr>
        <w:pStyle w:val="Default"/>
        <w:spacing w:line="231" w:lineRule="atLeast"/>
        <w:ind w:left="5800" w:right="36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Ver transacció n No. </w:t>
      </w:r>
    </w:p>
    <w:p w:rsidR="00000000" w:rsidRDefault="00956091">
      <w:pPr>
        <w:pStyle w:val="Default"/>
        <w:ind w:left="1628"/>
      </w:pPr>
      <w:r>
        <w:t xml:space="preserve">Estado de Resultados </w:t>
      </w:r>
    </w:p>
    <w:p w:rsidR="00000000" w:rsidRDefault="00956091">
      <w:pPr>
        <w:pStyle w:val="Default"/>
        <w:spacing w:line="260" w:lineRule="atLeast"/>
        <w:ind w:left="7003" w:hanging="5450"/>
        <w:rPr>
          <w:sz w:val="20"/>
          <w:szCs w:val="20"/>
        </w:rPr>
      </w:pPr>
      <w:r>
        <w:t xml:space="preserve">Al 31 de enero de 2010 </w:t>
      </w:r>
      <w:r>
        <w:rPr>
          <w:sz w:val="20"/>
          <w:szCs w:val="20"/>
        </w:rPr>
        <w:t xml:space="preserve">Sumatoria de las ventas de las dos Ventas </w:t>
      </w:r>
    </w:p>
    <w:p w:rsidR="00000000" w:rsidRDefault="00956091">
      <w:pPr>
        <w:pStyle w:val="CM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18.000,00 </w:t>
      </w:r>
    </w:p>
    <w:p w:rsidR="00000000" w:rsidRDefault="00956091">
      <w:pPr>
        <w:pStyle w:val="Default"/>
        <w:spacing w:line="231" w:lineRule="atLeast"/>
        <w:ind w:left="6085"/>
        <w:rPr>
          <w:sz w:val="20"/>
          <w:szCs w:val="20"/>
        </w:rPr>
      </w:pPr>
      <w:r>
        <w:rPr>
          <w:sz w:val="20"/>
          <w:szCs w:val="20"/>
        </w:rPr>
        <w:t xml:space="preserve">1y 8 transacciones. A diferencia del ejercicio de la clase anterior, esta empresa es comercializadora no productora, por lo (-) Costo de Ventas </w:t>
      </w:r>
    </w:p>
    <w:p w:rsidR="00000000" w:rsidRDefault="00956091">
      <w:pPr>
        <w:pStyle w:val="CM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12.000,00 </w:t>
      </w:r>
    </w:p>
    <w:p w:rsidR="00000000" w:rsidRDefault="00956091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space="720"/>
          <w:noEndnote/>
        </w:sectPr>
      </w:pPr>
      <w:r>
        <w:rPr>
          <w:sz w:val="20"/>
          <w:szCs w:val="20"/>
        </w:rPr>
        <w:t>1a y 8a que el costo de</w:t>
      </w:r>
      <w:r>
        <w:rPr>
          <w:sz w:val="20"/>
          <w:szCs w:val="20"/>
        </w:rPr>
        <w:t xml:space="preserve"> ventas (ya no costo de los productos vendidos) depende directamente de las Ventas. </w:t>
      </w: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"/>
      </w:pPr>
      <w:r>
        <w:rPr>
          <w:b/>
          <w:bCs/>
        </w:rPr>
        <w:lastRenderedPageBreak/>
        <w:t xml:space="preserve">(=) Utilidad bruta </w:t>
      </w:r>
    </w:p>
    <w:p w:rsidR="00000000" w:rsidRDefault="00956091">
      <w:pPr>
        <w:pStyle w:val="CM1"/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CM1"/>
      </w:pPr>
    </w:p>
    <w:p w:rsidR="00000000" w:rsidRDefault="00956091">
      <w:pPr>
        <w:pStyle w:val="CM2"/>
        <w:jc w:val="center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  <w:r>
        <w:rPr>
          <w:b/>
          <w:bCs/>
          <w:sz w:val="20"/>
          <w:szCs w:val="20"/>
        </w:rPr>
        <w:lastRenderedPageBreak/>
        <w:t xml:space="preserve">6.000,00 </w:t>
      </w: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1"/>
        <w:spacing w:line="243" w:lineRule="atLeast"/>
      </w:pPr>
      <w:r>
        <w:lastRenderedPageBreak/>
        <w:t xml:space="preserve">(-) Gastos Operacionales </w:t>
      </w:r>
    </w:p>
    <w:p w:rsidR="00000000" w:rsidRDefault="00956091">
      <w:pPr>
        <w:pStyle w:val="CM11"/>
        <w:spacing w:line="243" w:lineRule="atLeast"/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CM11"/>
        <w:spacing w:line="243" w:lineRule="atLeast"/>
      </w:pPr>
    </w:p>
    <w:p w:rsidR="00000000" w:rsidRDefault="00956091">
      <w:pPr>
        <w:pStyle w:val="CM12"/>
        <w:spacing w:line="246" w:lineRule="atLeast"/>
        <w:ind w:left="7003" w:hanging="2180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  <w:r>
        <w:rPr>
          <w:sz w:val="20"/>
          <w:szCs w:val="20"/>
        </w:rPr>
        <w:t>3.065,00</w:t>
      </w:r>
      <w:r>
        <w:rPr>
          <w:sz w:val="20"/>
          <w:szCs w:val="20"/>
        </w:rPr>
        <w:t xml:space="preserve"> Se registran las comisio</w:t>
      </w:r>
      <w:r>
        <w:rPr>
          <w:sz w:val="20"/>
          <w:szCs w:val="20"/>
        </w:rPr>
        <w:lastRenderedPageBreak/>
        <w:t>nes generados por las ventas de este</w:t>
      </w:r>
      <w:r>
        <w:rPr>
          <w:sz w:val="20"/>
          <w:szCs w:val="20"/>
        </w:rPr>
        <w:lastRenderedPageBreak/>
        <w:t xml:space="preserve"> mes, Gastos por co</w:t>
      </w:r>
      <w:r>
        <w:rPr>
          <w:sz w:val="20"/>
          <w:szCs w:val="20"/>
        </w:rPr>
        <w:lastRenderedPageBreak/>
        <w:t xml:space="preserve">misiones 500,00 5 </w:t>
      </w: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1"/>
        <w:spacing w:line="246" w:lineRule="atLeast"/>
        <w:ind w:left="3503" w:right="803"/>
        <w:rPr>
          <w:sz w:val="20"/>
          <w:szCs w:val="20"/>
        </w:rPr>
      </w:pPr>
      <w:r>
        <w:rPr>
          <w:sz w:val="20"/>
          <w:szCs w:val="20"/>
        </w:rPr>
        <w:t xml:space="preserve">independientemente de que aún no </w:t>
      </w:r>
      <w:r>
        <w:rPr>
          <w:sz w:val="20"/>
          <w:szCs w:val="20"/>
        </w:rPr>
        <w:lastRenderedPageBreak/>
        <w:t>se cancelan en efectivo. Sueldos y</w:t>
      </w:r>
      <w:r>
        <w:rPr>
          <w:sz w:val="20"/>
          <w:szCs w:val="20"/>
        </w:rPr>
        <w:lastRenderedPageBreak/>
        <w:t xml:space="preserve"> Salarios </w:t>
      </w:r>
    </w:p>
    <w:p w:rsidR="00000000" w:rsidRDefault="00956091">
      <w:pPr>
        <w:pStyle w:val="CM5"/>
        <w:ind w:left="7003" w:hanging="755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  <w:r>
        <w:rPr>
          <w:sz w:val="20"/>
          <w:szCs w:val="20"/>
        </w:rPr>
        <w:t>6 Se reconoce el ga</w:t>
      </w:r>
      <w:r>
        <w:rPr>
          <w:sz w:val="20"/>
          <w:szCs w:val="20"/>
        </w:rPr>
        <w:lastRenderedPageBreak/>
        <w:t xml:space="preserve">sto por publicidad 1.400,00 </w:t>
      </w: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1"/>
        <w:spacing w:line="243" w:lineRule="atLeast"/>
      </w:pPr>
      <w:r>
        <w:t xml:space="preserve">Gastos de publicidad </w:t>
      </w:r>
      <w:r>
        <w:lastRenderedPageBreak/>
        <w:t xml:space="preserve">11a 500,00 </w:t>
      </w:r>
    </w:p>
    <w:p w:rsidR="00000000" w:rsidRDefault="00956091">
      <w:pPr>
        <w:pStyle w:val="CM11"/>
        <w:spacing w:line="243" w:lineRule="atLeast"/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CM11"/>
        <w:spacing w:line="243" w:lineRule="atLeast"/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1"/>
        <w:spacing w:line="251" w:lineRule="atLeast"/>
        <w:ind w:left="7003" w:right="135"/>
        <w:rPr>
          <w:sz w:val="20"/>
          <w:szCs w:val="20"/>
        </w:rPr>
      </w:pPr>
      <w:r>
        <w:rPr>
          <w:sz w:val="20"/>
          <w:szCs w:val="20"/>
        </w:rPr>
        <w:t>que corresponde a</w:t>
      </w:r>
      <w:r>
        <w:rPr>
          <w:sz w:val="20"/>
          <w:szCs w:val="20"/>
        </w:rPr>
        <w:lastRenderedPageBreak/>
        <w:t xml:space="preserve"> este mes. Se reco</w:t>
      </w:r>
      <w:r>
        <w:rPr>
          <w:sz w:val="20"/>
          <w:szCs w:val="20"/>
        </w:rPr>
        <w:lastRenderedPageBreak/>
        <w:t xml:space="preserve">noce el gasto por alquiler que </w:t>
      </w:r>
      <w:r>
        <w:rPr>
          <w:sz w:val="20"/>
          <w:szCs w:val="20"/>
        </w:rPr>
        <w:lastRenderedPageBreak/>
        <w:t>Gastos de alquiler 11</w:t>
      </w:r>
      <w:r>
        <w:rPr>
          <w:sz w:val="20"/>
          <w:szCs w:val="20"/>
        </w:rPr>
        <w:t xml:space="preserve">b 500,00 </w:t>
      </w:r>
    </w:p>
    <w:p w:rsidR="00000000" w:rsidRDefault="00956091">
      <w:pPr>
        <w:pStyle w:val="CM11"/>
        <w:spacing w:line="251" w:lineRule="atLeast"/>
        <w:ind w:left="7003" w:right="135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CM11"/>
        <w:spacing w:line="251" w:lineRule="atLeast"/>
        <w:ind w:left="7003" w:right="135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3"/>
        <w:ind w:left="7003"/>
        <w:rPr>
          <w:sz w:val="20"/>
          <w:szCs w:val="20"/>
        </w:rPr>
      </w:pPr>
      <w:r>
        <w:rPr>
          <w:sz w:val="20"/>
          <w:szCs w:val="20"/>
        </w:rPr>
        <w:t>corresponde a este m</w:t>
      </w:r>
      <w:r>
        <w:rPr>
          <w:sz w:val="20"/>
          <w:szCs w:val="20"/>
        </w:rPr>
        <w:lastRenderedPageBreak/>
        <w:t>es.</w:t>
      </w:r>
      <w:r>
        <w:rPr>
          <w:sz w:val="20"/>
          <w:szCs w:val="20"/>
        </w:rPr>
        <w:br/>
        <w:t>Se reconoce el ga</w:t>
      </w:r>
      <w:r>
        <w:rPr>
          <w:sz w:val="20"/>
          <w:szCs w:val="20"/>
        </w:rPr>
        <w:lastRenderedPageBreak/>
        <w:t>sto por depr</w:t>
      </w:r>
      <w:r>
        <w:rPr>
          <w:sz w:val="20"/>
          <w:szCs w:val="20"/>
        </w:rPr>
        <w:lastRenderedPageBreak/>
        <w:t>eciación</w:t>
      </w:r>
      <w:r>
        <w:rPr>
          <w:sz w:val="20"/>
          <w:szCs w:val="20"/>
        </w:rPr>
        <w:br/>
      </w:r>
    </w:p>
    <w:p w:rsidR="00000000" w:rsidRDefault="00956091">
      <w:pPr>
        <w:pStyle w:val="CM1"/>
        <w:rPr>
          <w:sz w:val="20"/>
          <w:szCs w:val="20"/>
        </w:rPr>
      </w:pPr>
      <w:r>
        <w:rPr>
          <w:sz w:val="20"/>
          <w:szCs w:val="20"/>
        </w:rPr>
        <w:t xml:space="preserve">Gastos de depreciación 11c 165,00 que corresponde a este mes. </w:t>
      </w:r>
    </w:p>
    <w:p w:rsidR="00000000" w:rsidRDefault="00956091">
      <w:pPr>
        <w:pStyle w:val="CM1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CM1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2288" w:space="4715"/>
            <w:col w:w="3410"/>
          </w:cols>
          <w:noEndnote/>
        </w:sectPr>
      </w:pPr>
    </w:p>
    <w:p w:rsidR="00000000" w:rsidRDefault="00956091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space="720"/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(=) Utilidad Operacional </w:t>
      </w:r>
    </w:p>
    <w:p w:rsidR="00000000" w:rsidRDefault="00956091">
      <w:pPr>
        <w:pStyle w:val="CM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2.935,00 </w:t>
      </w:r>
    </w:p>
    <w:p w:rsidR="00000000" w:rsidRDefault="00956091">
      <w:pPr>
        <w:pStyle w:val="CM11"/>
        <w:spacing w:line="243" w:lineRule="atLeast"/>
        <w:rPr>
          <w:sz w:val="20"/>
          <w:szCs w:val="20"/>
        </w:rPr>
      </w:pPr>
      <w:r>
        <w:rPr>
          <w:sz w:val="20"/>
          <w:szCs w:val="20"/>
        </w:rPr>
        <w:t xml:space="preserve">(+/-) Ingresos / Gastos No Operacionales </w:t>
      </w:r>
    </w:p>
    <w:p w:rsidR="00000000" w:rsidRDefault="00956091">
      <w:pPr>
        <w:pStyle w:val="Default"/>
        <w:spacing w:line="271" w:lineRule="atLeast"/>
        <w:ind w:right="4850" w:firstLine="492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-163,33 Intereses </w:t>
      </w:r>
      <w:r>
        <w:rPr>
          <w:color w:val="auto"/>
          <w:sz w:val="20"/>
          <w:szCs w:val="20"/>
        </w:rPr>
        <w:lastRenderedPageBreak/>
        <w:t xml:space="preserve">ganados </w:t>
      </w:r>
    </w:p>
    <w:p w:rsidR="00000000" w:rsidRDefault="00956091">
      <w:pPr>
        <w:pStyle w:val="Default"/>
        <w:spacing w:line="271" w:lineRule="atLeast"/>
        <w:ind w:right="4850" w:firstLine="4923"/>
        <w:rPr>
          <w:color w:val="auto"/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5600" w:space="1405"/>
            <w:col w:w="3383"/>
          </w:cols>
          <w:noEndnote/>
        </w:sectPr>
      </w:pPr>
    </w:p>
    <w:p w:rsidR="00000000" w:rsidRDefault="00956091">
      <w:pPr>
        <w:pStyle w:val="Default"/>
        <w:spacing w:line="271" w:lineRule="atLeast"/>
        <w:ind w:right="4850" w:firstLine="4923"/>
        <w:rPr>
          <w:color w:val="auto"/>
          <w:sz w:val="20"/>
          <w:szCs w:val="20"/>
        </w:rPr>
      </w:pPr>
    </w:p>
    <w:p w:rsidR="00000000" w:rsidRDefault="00956091">
      <w:pPr>
        <w:pStyle w:val="CM5"/>
        <w:ind w:left="7003" w:hanging="755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5600" w:space="1405"/>
            <w:col w:w="3383"/>
          </w:cols>
          <w:noEndnote/>
        </w:sectPr>
      </w:pPr>
      <w:r>
        <w:rPr>
          <w:sz w:val="20"/>
          <w:szCs w:val="20"/>
        </w:rPr>
        <w:t>4 Sumatoria de los gast</w:t>
      </w:r>
      <w:r>
        <w:rPr>
          <w:sz w:val="20"/>
          <w:szCs w:val="20"/>
        </w:rPr>
        <w:lastRenderedPageBreak/>
        <w:t xml:space="preserve">os por intereses 30,00 </w:t>
      </w: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1"/>
        <w:spacing w:line="243" w:lineRule="atLeast"/>
      </w:pPr>
      <w:r>
        <w:t xml:space="preserve">Gastos por intereses 9 y 10 193,33 </w:t>
      </w:r>
    </w:p>
    <w:p w:rsidR="00000000" w:rsidRDefault="00956091">
      <w:pPr>
        <w:pStyle w:val="CM11"/>
        <w:spacing w:line="243" w:lineRule="atLeast"/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5600" w:space="1405"/>
            <w:col w:w="3383"/>
          </w:cols>
          <w:noEndnote/>
        </w:sectPr>
      </w:pPr>
    </w:p>
    <w:p w:rsidR="00000000" w:rsidRDefault="00956091">
      <w:pPr>
        <w:pStyle w:val="CM11"/>
        <w:spacing w:line="243" w:lineRule="atLeast"/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5600" w:space="1405"/>
            <w:col w:w="3383"/>
          </w:cols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3"/>
        <w:ind w:left="7003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5600" w:space="1405"/>
            <w:col w:w="3383"/>
          </w:cols>
          <w:noEndnote/>
        </w:sectPr>
      </w:pPr>
      <w:r>
        <w:rPr>
          <w:sz w:val="20"/>
          <w:szCs w:val="20"/>
        </w:rPr>
        <w:t>de las dos transacciones. Valor que resulta de a l</w:t>
      </w:r>
      <w:r>
        <w:rPr>
          <w:sz w:val="20"/>
          <w:szCs w:val="20"/>
        </w:rPr>
        <w:lastRenderedPageBreak/>
        <w:t>a Utilidad Operacional, sumarle los</w:t>
      </w:r>
      <w:r>
        <w:rPr>
          <w:sz w:val="20"/>
          <w:szCs w:val="20"/>
        </w:rPr>
        <w:t xml:space="preserve"> Ingresos por </w:t>
      </w:r>
    </w:p>
    <w:p w:rsidR="00000000" w:rsidRDefault="00956091">
      <w:pPr>
        <w:pStyle w:val="CM3"/>
        <w:ind w:left="7003"/>
        <w:rPr>
          <w:sz w:val="20"/>
          <w:szCs w:val="20"/>
        </w:rPr>
      </w:pPr>
    </w:p>
    <w:p w:rsidR="00000000" w:rsidRDefault="00956091">
      <w:pPr>
        <w:pStyle w:val="CM3"/>
        <w:ind w:left="7003"/>
        <w:rPr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num="2" w:space="720" w:equalWidth="0">
            <w:col w:w="5600" w:space="1405"/>
            <w:col w:w="3383"/>
          </w:cols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(=) Utilidad Neta </w:t>
      </w:r>
    </w:p>
    <w:p w:rsidR="00000000" w:rsidRDefault="00956091">
      <w:pPr>
        <w:pStyle w:val="CM12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2.771,67 </w:t>
      </w:r>
    </w:p>
    <w:p w:rsidR="00000000" w:rsidRDefault="00956091">
      <w:pPr>
        <w:pStyle w:val="CM3"/>
        <w:ind w:left="70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Intereses Ganados y restarle los Gastos por Intereses. 30% de la Utilidad Neta de acuerdo a (-) Dividendos declarados </w:t>
      </w:r>
    </w:p>
    <w:p w:rsidR="00000000" w:rsidRDefault="00956091">
      <w:pPr>
        <w:pStyle w:val="CM12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831,50 </w:t>
      </w:r>
    </w:p>
    <w:p w:rsidR="00000000" w:rsidRDefault="00956091">
      <w:pPr>
        <w:pStyle w:val="Default"/>
        <w:spacing w:line="251" w:lineRule="atLeast"/>
        <w:ind w:left="7003" w:right="49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la política de la empresa.</w:t>
      </w:r>
      <w:r>
        <w:rPr>
          <w:color w:val="auto"/>
          <w:sz w:val="20"/>
          <w:szCs w:val="20"/>
        </w:rPr>
        <w:t xml:space="preserve"> Lo que se reinvertirá en la misma </w:t>
      </w:r>
    </w:p>
    <w:p w:rsidR="00000000" w:rsidRDefault="00956091">
      <w:pPr>
        <w:pStyle w:val="Default"/>
        <w:spacing w:line="251" w:lineRule="atLeast"/>
        <w:ind w:left="7003" w:right="493"/>
        <w:rPr>
          <w:color w:val="auto"/>
          <w:sz w:val="20"/>
          <w:szCs w:val="20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space="720"/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(=) Utilidad Retenida </w:t>
      </w:r>
    </w:p>
    <w:p w:rsidR="00000000" w:rsidRDefault="00956091">
      <w:pPr>
        <w:pStyle w:val="CM11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1.940,17 </w:t>
      </w:r>
    </w:p>
    <w:p w:rsidR="00000000" w:rsidRDefault="00956091">
      <w:pPr>
        <w:pStyle w:val="CM10"/>
        <w:spacing w:line="231" w:lineRule="atLeast"/>
        <w:ind w:left="7003" w:right="658"/>
        <w:rPr>
          <w:sz w:val="20"/>
          <w:szCs w:val="20"/>
        </w:rPr>
      </w:pPr>
      <w:r>
        <w:rPr>
          <w:sz w:val="20"/>
          <w:szCs w:val="20"/>
        </w:rPr>
        <w:t xml:space="preserve">empresa, luego del pago de los dividendos. </w:t>
      </w:r>
    </w:p>
    <w:p w:rsidR="00000000" w:rsidRDefault="00956091">
      <w:pPr>
        <w:pStyle w:val="CM13"/>
        <w:jc w:val="center"/>
      </w:pPr>
      <w:r>
        <w:t>A continuación trabajaremos en la elaboración del BG a finales de enero.</w:t>
      </w:r>
      <w:r>
        <w:br/>
      </w:r>
    </w:p>
    <w:tbl>
      <w:tblPr>
        <w:tblW w:w="8965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977"/>
        <w:gridCol w:w="1253"/>
        <w:gridCol w:w="22"/>
        <w:gridCol w:w="1513"/>
        <w:gridCol w:w="22"/>
        <w:gridCol w:w="1903"/>
        <w:gridCol w:w="2253"/>
        <w:gridCol w:w="2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“Mi Pequeña Empresa” 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Balance General 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Al 31 de enero de 2010 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3" w:type="dxa"/>
            <w:vMerge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685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ACTIVOS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535" w:type="dxa"/>
            <w:gridSpan w:val="2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 transacción No. </w:t>
            </w:r>
          </w:p>
        </w:tc>
        <w:tc>
          <w:tcPr>
            <w:tcW w:w="4178" w:type="dxa"/>
            <w:gridSpan w:val="3"/>
            <w:tcBorders>
              <w:top w:val="single" w:sz="2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rPr>
                <w:b/>
                <w:bCs/>
              </w:rPr>
              <w:t xml:space="preserve">Comentarios </w:t>
            </w:r>
          </w:p>
        </w:tc>
      </w:tr>
    </w:tbl>
    <w:p w:rsidR="00000000" w:rsidRDefault="00956091">
      <w:pPr>
        <w:pStyle w:val="Default"/>
        <w:rPr>
          <w:color w:val="auto"/>
        </w:rPr>
      </w:pPr>
    </w:p>
    <w:tbl>
      <w:tblPr>
        <w:tblW w:w="894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978"/>
        <w:gridCol w:w="1253"/>
        <w:gridCol w:w="1535"/>
        <w:gridCol w:w="41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78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bottom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Activo Circulante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25.530,00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Caja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11.330,00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2, 3, 4, 5a, 6, 7, 8, 9 y 10 </w:t>
            </w: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Resultado de tomar en cuenta las entradas y salidas de efectivo durante el mes.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Cuentas por cobrar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8.200,00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2 y 8 </w:t>
            </w: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Saldo neto de las ventas que aún no se cobran en efectivo.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Documentos por cobrar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valor del inicio del periodo se le restó lo cobrado durante el mes.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Mercadería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2.000,00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1a, 7 y 8a. </w:t>
            </w: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Recordemos de la clase anterior que su saldo es el resultado de: Inventario Inicial + Compras – Costo de Ventas = Inventario Final.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Publicidad Pagada por adelantado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11a </w:t>
            </w: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valor del periodo anterior se le ha restado lo consumido en este mes en </w:t>
            </w:r>
            <w:r>
              <w:rPr>
                <w:sz w:val="20"/>
                <w:szCs w:val="20"/>
              </w:rPr>
              <w:t xml:space="preserve">particular por concepto de gasto de publicidad.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978" w:type="dxa"/>
            <w:vMerge w:val="restart"/>
            <w:tcBorders>
              <w:top w:val="single" w:sz="11" w:space="0" w:color="000000"/>
              <w:left w:val="single" w:sz="10" w:space="0" w:color="000000"/>
              <w:right w:val="single" w:sz="9" w:space="0" w:color="000000"/>
            </w:tcBorders>
            <w:vAlign w:val="bottom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Alquiler Pagado por adelantado </w:t>
            </w:r>
          </w:p>
        </w:tc>
        <w:tc>
          <w:tcPr>
            <w:tcW w:w="1253" w:type="dxa"/>
            <w:vMerge w:val="restart"/>
            <w:tcBorders>
              <w:top w:val="single" w:sz="11" w:space="0" w:color="000000"/>
              <w:left w:val="single" w:sz="9" w:space="0" w:color="000000"/>
              <w:right w:val="single" w:sz="10" w:space="0" w:color="000000"/>
            </w:tcBorders>
            <w:vAlign w:val="bottom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2.000,00 </w:t>
            </w: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vMerge w:val="restart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valor del periodo anterior se le ha restado lo consumido en este mes en particular por concepto de gasto de alquiler.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8" w:type="dxa"/>
            <w:vMerge/>
            <w:tcBorders>
              <w:top w:val="single" w:sz="11" w:space="0" w:color="000000"/>
              <w:left w:val="single" w:sz="10" w:space="0" w:color="000000"/>
              <w:right w:val="single" w:sz="9" w:space="0" w:color="000000"/>
            </w:tcBorders>
            <w:vAlign w:val="bottom"/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top w:val="single" w:sz="11" w:space="0" w:color="000000"/>
              <w:left w:val="single" w:sz="9" w:space="0" w:color="000000"/>
              <w:right w:val="single" w:sz="10" w:space="0" w:color="000000"/>
            </w:tcBorders>
            <w:vAlign w:val="bottom"/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11b </w:t>
            </w:r>
          </w:p>
        </w:tc>
        <w:tc>
          <w:tcPr>
            <w:tcW w:w="4178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978" w:type="dxa"/>
            <w:tcBorders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vMerge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Activos Fijos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18.875,00 </w:t>
            </w: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Vehículos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11,000.00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(-) Depreciación Acum. Vehículo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4.125,00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11c </w:t>
            </w: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saldo de inicios del periodo se le ha incrementado el gasto de depreciación de enero. Es decir el activo ha sido depreciado por un total de 25 meses.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978" w:type="dxa"/>
            <w:tcBorders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35" w:type="dxa"/>
            <w:tcBorders>
              <w:left w:val="single" w:sz="10" w:space="0" w:color="000000"/>
              <w:bottom w:val="single" w:sz="2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Terreno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12,000.00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valor se mantiene intacto al no haber existido ninguna transacción que lo afecte.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ACTIVOS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44.405,00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253" w:type="dxa"/>
            <w:tcBorders>
              <w:top w:val="single" w:sz="11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PASIVOS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Pasivo Circulante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14.424,83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Cuentas por pagar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5.500,00 </w:t>
            </w: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y 7 </w:t>
            </w: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Refleja lo que está pendiente de pago ú</w:t>
            </w:r>
            <w:r>
              <w:rPr>
                <w:sz w:val="20"/>
                <w:szCs w:val="20"/>
              </w:rPr>
              <w:t xml:space="preserve">nicamente a nuestros proveedores.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Préstamos Bancarios CP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7.593,33 </w:t>
            </w: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resta al valor de inicio del periodo, el valor abonado durante enero.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Comisiones por Pagar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cancelan las comisiones del mes pasado y quedan pendientes las de enero.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Dividendos por pagar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831,50 </w:t>
            </w: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crea el pasivo porque a pesar de haber sido declarados aún no se cancelan en efectivo, por lo que hay que registrar la obligación pendiente.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Pasivo de Largo Plazo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9.500,00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Hipoteca por pagar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9.500,00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hipoteca fue cancelada en 500 dólares por lo que este valor se resta del inicial.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PASIVOS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23.924,83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PATRIMONIO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7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Capital contable </w:t>
            </w:r>
          </w:p>
        </w:tc>
        <w:tc>
          <w:tcPr>
            <w:tcW w:w="1253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10,690,00 </w:t>
            </w:r>
          </w:p>
        </w:tc>
        <w:tc>
          <w:tcPr>
            <w:tcW w:w="1535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mismo valor a inicio del periodo debido a que no ha habido nuevas aportaciones por parte del o los dueños de la empresa. </w:t>
            </w:r>
          </w:p>
        </w:tc>
      </w:tr>
    </w:tbl>
    <w:p w:rsidR="00000000" w:rsidRDefault="00956091">
      <w:pPr>
        <w:pStyle w:val="Default"/>
        <w:rPr>
          <w:color w:val="auto"/>
        </w:rPr>
      </w:pPr>
    </w:p>
    <w:tbl>
      <w:tblPr>
        <w:tblW w:w="894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978"/>
        <w:gridCol w:w="1253"/>
        <w:gridCol w:w="1535"/>
        <w:gridCol w:w="41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978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Utilidades Retenidas 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9,790.17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bottom"/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las Utilidades acumuladas de todos los periodos anteriores se le suma la Utilidad Retenida en enero la cual se obtiene del Estado de Resultados.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PATRIMONIO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20.480,17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97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PASIVOS Y PATRIMONIO </w:t>
            </w:r>
          </w:p>
        </w:tc>
        <w:tc>
          <w:tcPr>
            <w:tcW w:w="1253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44.405,00 </w:t>
            </w:r>
          </w:p>
        </w:tc>
        <w:tc>
          <w:tcPr>
            <w:tcW w:w="153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4178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Identidad Contable se cumple automá</w:t>
            </w:r>
            <w:r>
              <w:rPr>
                <w:sz w:val="20"/>
                <w:szCs w:val="20"/>
              </w:rPr>
              <w:t xml:space="preserve">ticamente se registran las transacciones del mes. </w:t>
            </w:r>
          </w:p>
        </w:tc>
      </w:tr>
    </w:tbl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3"/>
        <w:spacing w:line="276" w:lineRule="atLeast"/>
        <w:jc w:val="both"/>
      </w:pPr>
      <w:r>
        <w:t>Repasaremos ahora el Flujo de Caja, estado financiero recién introducido en la clase pasada. Veamos que tan clara quedó en usted la información proporcionada. Recuerde que usted deberá</w:t>
      </w:r>
      <w:r>
        <w:t xml:space="preserve"> reflejar solamente las entradas y salidas de dinero en efectivo ocurridas en el mes. </w:t>
      </w:r>
    </w:p>
    <w:tbl>
      <w:tblPr>
        <w:tblW w:w="103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924"/>
        <w:gridCol w:w="1383"/>
        <w:gridCol w:w="958"/>
        <w:gridCol w:w="1473"/>
        <w:gridCol w:w="26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“Mi Pequeña Empresa” </w:t>
            </w: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2633" w:type="dxa"/>
            <w:vMerge w:val="restart"/>
            <w:tcBorders>
              <w:left w:val="single" w:sz="2" w:space="0" w:color="000000"/>
              <w:bottom w:val="single" w:sz="11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</w:tcBorders>
          </w:tcPr>
          <w:p w:rsidR="00000000" w:rsidRDefault="00956091">
            <w:pPr>
              <w:pStyle w:val="Default"/>
            </w:pPr>
            <w:r>
              <w:t xml:space="preserve">Flujo de Caja Al 31 de enero de 2010 </w:t>
            </w:r>
          </w:p>
        </w:tc>
        <w:tc>
          <w:tcPr>
            <w:tcW w:w="1383" w:type="dxa"/>
            <w:tcBorders>
              <w:top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2633" w:type="dxa"/>
            <w:vMerge/>
            <w:tcBorders>
              <w:left w:val="single" w:sz="2" w:space="0" w:color="000000"/>
              <w:bottom w:val="single" w:sz="11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925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383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rPr>
                <w:b/>
                <w:bCs/>
              </w:rPr>
              <w:t xml:space="preserve">Dic.31/09 </w:t>
            </w:r>
          </w:p>
        </w:tc>
        <w:tc>
          <w:tcPr>
            <w:tcW w:w="95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</w:pPr>
            <w:r>
              <w:rPr>
                <w:b/>
                <w:bCs/>
              </w:rPr>
              <w:t xml:space="preserve">Ver transa c. No. </w:t>
            </w: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rPr>
                <w:b/>
                <w:bCs/>
              </w:rPr>
              <w:t xml:space="preserve">Comentarios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2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rPr>
                <w:b/>
                <w:bCs/>
              </w:rPr>
              <w:t xml:space="preserve">ENTRADAS DE DINERO 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lastRenderedPageBreak/>
              <w:t xml:space="preserve">Ingresos por Ventas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14.300,00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1, 2 y 8 </w:t>
            </w: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la sumatoria de lo cobrado en efectivo de las Ventas del mes y de lo vendido a crédito el mes pasado y cobrado en este mes.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Ingresos por Doc. Por cobrar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1.500,00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4 </w:t>
            </w: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</w:pPr>
            <w:r>
              <w:rPr>
                <w:sz w:val="20"/>
                <w:szCs w:val="20"/>
              </w:rPr>
              <w:t>Cobro del documento pendiente de periodos anteriores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Ingresos por intereses ganados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30,00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4 </w:t>
            </w: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Intereses obtenidos del préstamo otorgado a CP.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rPr>
                <w:b/>
                <w:bCs/>
              </w:rPr>
              <w:t xml:space="preserve">TOTAL ENTRADAS DE DINERO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rPr>
                <w:b/>
                <w:bCs/>
              </w:rPr>
              <w:t xml:space="preserve">15.830,00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2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rPr>
                <w:b/>
                <w:bCs/>
              </w:rPr>
              <w:t xml:space="preserve">SALIDAS DE DINERO 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Pago a proveedores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5.800,00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3 y 7 </w:t>
            </w: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lo pagado de cré</w:t>
            </w:r>
            <w:r>
              <w:rPr>
                <w:sz w:val="20"/>
                <w:szCs w:val="20"/>
              </w:rPr>
              <w:t xml:space="preserve">ditos recibidos en meses anteriores más la parte que se pagó en efectivo al proveedor de la compra realizada en enero.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000000" w:rsidRDefault="00956091">
            <w:pPr>
              <w:pStyle w:val="Default"/>
            </w:pPr>
            <w:r>
              <w:t xml:space="preserve">Pago de Comisiones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000000" w:rsidRDefault="00956091">
            <w:pPr>
              <w:pStyle w:val="Default"/>
              <w:jc w:val="right"/>
            </w:pPr>
            <w:r>
              <w:t xml:space="preserve">1.700,00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bottom"/>
          </w:tcPr>
          <w:p w:rsidR="00000000" w:rsidRDefault="00956091">
            <w:pPr>
              <w:pStyle w:val="Default"/>
              <w:jc w:val="center"/>
            </w:pPr>
            <w:r>
              <w:t xml:space="preserve">5a </w:t>
            </w: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Pago en efectivo de las comisiones del mes anterior.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Pagos de Sueldos y Salarios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1.400,00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6 </w:t>
            </w: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bottom"/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Cuenta pagada en efectivo en su totalidad.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2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Pago de Préstamo Bancario CP 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406,67 </w:t>
            </w:r>
          </w:p>
        </w:tc>
        <w:tc>
          <w:tcPr>
            <w:tcW w:w="95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9 </w:t>
            </w: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Abono al capital adeudado al Banco Gquil.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Pago de Hipoteca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500,00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10 </w:t>
            </w: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bottom"/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Abono al capital a la CFN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925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Pago por gastos de intereses 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193,33 </w:t>
            </w:r>
          </w:p>
        </w:tc>
        <w:tc>
          <w:tcPr>
            <w:tcW w:w="958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00000" w:rsidRDefault="00956091">
            <w:pPr>
              <w:pStyle w:val="Default"/>
              <w:jc w:val="center"/>
            </w:pPr>
            <w:r>
              <w:t xml:space="preserve">9 y 10 </w:t>
            </w: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Pagos en efectivo de los intereses generados por las deudas.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25" w:type="dxa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rPr>
                <w:b/>
                <w:bCs/>
              </w:rPr>
              <w:t xml:space="preserve">TOTAL SALIDAS EFECTIVO 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rPr>
                <w:b/>
                <w:bCs/>
              </w:rPr>
              <w:t xml:space="preserve">10.000,0 </w:t>
            </w:r>
          </w:p>
        </w:tc>
        <w:tc>
          <w:tcPr>
            <w:tcW w:w="958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rPr>
                <w:b/>
                <w:bCs/>
              </w:rPr>
              <w:t xml:space="preserve">(=)FLUJO DE CAJA DEL MES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rPr>
                <w:b/>
                <w:bCs/>
              </w:rPr>
              <w:t xml:space="preserve">5.830,00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la diferencia entre las Entradas y Salidas de dinero en efectivo. En este caso se recibió má</w:t>
            </w:r>
            <w:r>
              <w:rPr>
                <w:sz w:val="20"/>
                <w:szCs w:val="20"/>
              </w:rPr>
              <w:t xml:space="preserve">s dinero del que se utilizó en el mes.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</w:pPr>
            <w:r>
              <w:t xml:space="preserve">(+) FLUJO DE CAJA INICIAL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00000" w:rsidRDefault="00956091">
            <w:pPr>
              <w:pStyle w:val="Default"/>
              <w:jc w:val="right"/>
            </w:pPr>
            <w:r>
              <w:t xml:space="preserve">5.500,00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toma el valor de la cuenta Caja a inicios de enero, es decir finales de diciembre.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25" w:type="dxa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</w:pPr>
            <w:r>
              <w:rPr>
                <w:b/>
                <w:bCs/>
              </w:rPr>
              <w:t xml:space="preserve">(=) FLUJO DE CAJA FINAL 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jc w:val="right"/>
            </w:pPr>
            <w:r>
              <w:rPr>
                <w:b/>
                <w:bCs/>
              </w:rPr>
              <w:t xml:space="preserve">11.330,00 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9" w:space="0" w:color="000000"/>
            </w:tcBorders>
          </w:tcPr>
          <w:p w:rsidR="00000000" w:rsidRDefault="009560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05" w:type="dxa"/>
            <w:gridSpan w:val="2"/>
            <w:tcBorders>
              <w:top w:val="single" w:sz="10" w:space="0" w:color="000000"/>
              <w:left w:val="single" w:sz="9" w:space="0" w:color="000000"/>
              <w:bottom w:val="single" w:sz="11" w:space="0" w:color="000000"/>
              <w:right w:val="single" w:sz="10" w:space="0" w:color="000000"/>
            </w:tcBorders>
          </w:tcPr>
          <w:p w:rsidR="00000000" w:rsidRDefault="009560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valor debe coincidir de manera </w:t>
            </w:r>
          </w:p>
        </w:tc>
      </w:tr>
    </w:tbl>
    <w:p w:rsidR="00000000" w:rsidRDefault="00956091">
      <w:pPr>
        <w:pStyle w:val="Default"/>
        <w:rPr>
          <w:color w:val="auto"/>
        </w:rPr>
      </w:pPr>
    </w:p>
    <w:p w:rsidR="00000000" w:rsidRDefault="00852667">
      <w:pPr>
        <w:pStyle w:val="Default"/>
        <w:spacing w:after="26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655435" cy="31813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56091">
      <w:pPr>
        <w:pStyle w:val="Default"/>
        <w:spacing w:after="260"/>
        <w:jc w:val="center"/>
        <w:rPr>
          <w:color w:val="auto"/>
        </w:rPr>
        <w:sectPr w:rsidR="00000000">
          <w:type w:val="continuous"/>
          <w:pgSz w:w="12240" w:h="15840"/>
          <w:pgMar w:top="1100" w:right="460" w:bottom="1360" w:left="720" w:header="720" w:footer="720" w:gutter="0"/>
          <w:cols w:space="720"/>
          <w:noEndnote/>
        </w:sectPr>
      </w:pPr>
    </w:p>
    <w:p w:rsidR="00000000" w:rsidRDefault="00956091">
      <w:pPr>
        <w:pStyle w:val="Default"/>
        <w:rPr>
          <w:color w:val="auto"/>
        </w:rPr>
      </w:pPr>
    </w:p>
    <w:p w:rsidR="00000000" w:rsidRDefault="00956091">
      <w:pPr>
        <w:pStyle w:val="CM10"/>
        <w:spacing w:line="276" w:lineRule="atLeast"/>
        <w:jc w:val="both"/>
      </w:pPr>
      <w:r>
        <w:rPr>
          <w:b/>
          <w:bCs/>
        </w:rPr>
        <w:t xml:space="preserve">CONCLUSIONES: </w:t>
      </w:r>
    </w:p>
    <w:p w:rsidR="00000000" w:rsidRDefault="00956091">
      <w:pPr>
        <w:pStyle w:val="CM10"/>
        <w:spacing w:line="278" w:lineRule="atLeast"/>
        <w:ind w:left="720" w:hanging="360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t>Con los Estados Financieros usted podrá seguirle la pista a la actividad de su empresa: Con el Estado de Resultados sabrá si está obteniendo pérdid</w:t>
      </w:r>
      <w:r>
        <w:t xml:space="preserve">as o ganancias como resultado de sus operaciones. </w:t>
      </w:r>
    </w:p>
    <w:p w:rsidR="00000000" w:rsidRDefault="00956091">
      <w:pPr>
        <w:pStyle w:val="CM10"/>
        <w:spacing w:line="276" w:lineRule="atLeast"/>
        <w:ind w:left="720"/>
        <w:jc w:val="both"/>
      </w:pPr>
      <w:r>
        <w:t>El Balance General me dirá el saldo de las cuentas al final de un periodo determinado y finalmente el Flujo de Caja me permitirá conocer con cuánto dinero en efectivo cuento al final de un periodo de aná</w:t>
      </w:r>
      <w:r>
        <w:t xml:space="preserve">lisis específico. </w:t>
      </w:r>
    </w:p>
    <w:p w:rsidR="00000000" w:rsidRDefault="00956091">
      <w:pPr>
        <w:pStyle w:val="CM10"/>
        <w:spacing w:line="276" w:lineRule="atLeast"/>
        <w:ind w:left="720"/>
        <w:jc w:val="both"/>
      </w:pPr>
      <w:r>
        <w:t>El FC será el principal estado financiero que me pida una institución financiera al momento de evaluar si me otorga o no un crédito, puesto que ahí podrá analizar si la empresa posee o no capacidad de generar excedentes de dinero para ha</w:t>
      </w:r>
      <w:r>
        <w:t xml:space="preserve">cer frente a nuevas obligaciones </w:t>
      </w:r>
      <w:r>
        <w:lastRenderedPageBreak/>
        <w:t xml:space="preserve">contraídas. </w:t>
      </w:r>
    </w:p>
    <w:p w:rsidR="00000000" w:rsidRDefault="0095609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Usted deberá imaginar que si bien es cierto en nuestras clases hemos manejado un periodo de análisis a la vez, el mismo ejercicio usted podrá replicarlo para cuantos periodos necesite proyectar (3 meses, 6 mese</w:t>
      </w:r>
      <w:r>
        <w:rPr>
          <w:color w:val="auto"/>
        </w:rPr>
        <w:t xml:space="preserve">s, 12 meses, etc.). Para esto deberá tener a la mano información pronosticada acerca de lo que espera le suceda a su empresa en los próximos periodos (nivel de ventas, costos esperados, formas de pago, políticas de cobranza, etc.). </w:t>
      </w:r>
    </w:p>
    <w:p w:rsidR="00000000" w:rsidRDefault="0095609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AL momento de pronostic</w:t>
      </w:r>
      <w:r>
        <w:rPr>
          <w:color w:val="auto"/>
        </w:rPr>
        <w:t>ar cuidado peca de ser muy optimista, trate de fijar supuestos los más cercanos a la realidad. ¿Qué cómo va a establecer esos supuestos?... ¿Qué no sabe cómo hacerlo?... LE comento que no es tan así</w:t>
      </w:r>
      <w:r>
        <w:rPr>
          <w:color w:val="auto"/>
        </w:rPr>
        <w:t>…</w:t>
      </w:r>
      <w:r>
        <w:rPr>
          <w:color w:val="auto"/>
        </w:rPr>
        <w:t xml:space="preserve"> usted conocedor de la realidad de su negocio, está en pe</w:t>
      </w:r>
      <w:r>
        <w:rPr>
          <w:color w:val="auto"/>
        </w:rPr>
        <w:t xml:space="preserve">rfecta capacidad de establecer supuestos razonables en los cuales basará su pronóstico para los siguientes periodos. </w:t>
      </w:r>
    </w:p>
    <w:p w:rsidR="00000000" w:rsidRDefault="0095609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Finalmente, usted podrá utilizar esta información para calcular algunas razones financieras y evaluar si la situación de la empresa mejoró</w:t>
      </w:r>
      <w:r>
        <w:rPr>
          <w:color w:val="auto"/>
        </w:rPr>
        <w:t xml:space="preserve"> o no de un mes a otro, pero eso se lo dejo de tarea</w:t>
      </w:r>
      <w:r>
        <w:rPr>
          <w:color w:val="auto"/>
        </w:rPr>
        <w:t>…</w:t>
      </w:r>
      <w:r>
        <w:rPr>
          <w:color w:val="auto"/>
        </w:rPr>
        <w:t xml:space="preserve"> </w:t>
      </w:r>
    </w:p>
    <w:p w:rsidR="00956091" w:rsidRDefault="00956091">
      <w:pPr>
        <w:pStyle w:val="Default"/>
        <w:rPr>
          <w:color w:val="auto"/>
        </w:rPr>
      </w:pPr>
    </w:p>
    <w:sectPr w:rsidR="00956091">
      <w:type w:val="continuous"/>
      <w:pgSz w:w="12240" w:h="15840"/>
      <w:pgMar w:top="1134" w:right="580" w:bottom="1360" w:left="8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7A1CE"/>
    <w:multiLevelType w:val="hybridMultilevel"/>
    <w:tmpl w:val="A86B936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27F4"/>
    <w:rsid w:val="00852667"/>
    <w:rsid w:val="00956091"/>
    <w:rsid w:val="00D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7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132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37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1252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2010-07-09T15:27:00Z</dcterms:created>
  <dcterms:modified xsi:type="dcterms:W3CDTF">2010-07-09T15:27:00Z</dcterms:modified>
</cp:coreProperties>
</file>