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B" w:rsidRDefault="00BD730C" w:rsidP="00B26EBB">
      <w:pPr>
        <w:jc w:val="center"/>
      </w:pPr>
      <w:r w:rsidRPr="00BD73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2pt;margin-top:1.15pt;width:275.8pt;height:54.75pt;z-index:251660288;mso-width-relative:margin;mso-height-relative:margin" filled="f" stroked="f">
            <v:textbox style="mso-next-textbox:#_x0000_s1027">
              <w:txbxContent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Escuela Superior Politécnica del Litoral</w:t>
                  </w:r>
                </w:p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Instituto de Ciencias Matemáticas</w:t>
                  </w:r>
                </w:p>
                <w:p w:rsidR="00B26EBB" w:rsidRPr="00717D67" w:rsidRDefault="00391EBC" w:rsidP="00B2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Tercera</w:t>
                  </w:r>
                  <w:r w:rsidR="00B26EBB" w:rsidRPr="00717D67">
                    <w:rPr>
                      <w:b/>
                    </w:rPr>
                    <w:t xml:space="preserve"> Evaluación de Matemáticas Discretas</w:t>
                  </w:r>
                </w:p>
                <w:p w:rsidR="00B26EBB" w:rsidRDefault="00B26EBB" w:rsidP="00B26EBB">
                  <w:pPr>
                    <w:jc w:val="center"/>
                  </w:pPr>
                </w:p>
                <w:p w:rsidR="00B26EBB" w:rsidRDefault="00B26EBB"/>
              </w:txbxContent>
            </v:textbox>
          </v:shape>
        </w:pict>
      </w: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/>
    <w:p w:rsidR="00717D67" w:rsidRPr="00717D67" w:rsidRDefault="00717D67" w:rsidP="00717D67">
      <w:pPr>
        <w:rPr>
          <w:b/>
        </w:rPr>
      </w:pPr>
      <w:r w:rsidRPr="00717D67">
        <w:rPr>
          <w:b/>
        </w:rPr>
        <w:t>Nombres:……………………………………………</w:t>
      </w:r>
      <w:r w:rsidR="005B5E0F">
        <w:rPr>
          <w:b/>
        </w:rPr>
        <w:t>….</w:t>
      </w:r>
      <w:r w:rsidRPr="00717D67">
        <w:rPr>
          <w:b/>
        </w:rPr>
        <w:t xml:space="preserve">. Firma:…………………………  </w:t>
      </w:r>
      <w:r w:rsidR="00391EBC">
        <w:rPr>
          <w:b/>
        </w:rPr>
        <w:t>16</w:t>
      </w:r>
      <w:r w:rsidRPr="00717D67">
        <w:rPr>
          <w:b/>
        </w:rPr>
        <w:t xml:space="preserve"> de </w:t>
      </w:r>
      <w:r w:rsidR="00391EBC">
        <w:rPr>
          <w:b/>
        </w:rPr>
        <w:t>septiembre</w:t>
      </w:r>
      <w:r w:rsidRPr="00717D67">
        <w:rPr>
          <w:b/>
        </w:rPr>
        <w:t xml:space="preserve"> de 2010</w:t>
      </w:r>
    </w:p>
    <w:p w:rsidR="00B26EBB" w:rsidRDefault="00B26EBB"/>
    <w:p w:rsidR="00B26EBB" w:rsidRDefault="00B26EBB"/>
    <w:p w:rsidR="00B26EBB" w:rsidRDefault="00717D67">
      <w:r>
        <w:t>Tema 1</w:t>
      </w:r>
      <w:r w:rsidR="00D60989">
        <w:t xml:space="preserve"> (2</w:t>
      </w:r>
      <w:r w:rsidR="00717DF1">
        <w:t>0 puntos)</w:t>
      </w:r>
    </w:p>
    <w:p w:rsidR="00B26EBB" w:rsidRDefault="00B26EBB"/>
    <w:p w:rsidR="003D5973" w:rsidRDefault="00087C31" w:rsidP="00717D67">
      <w:pPr>
        <w:jc w:val="both"/>
        <w:rPr>
          <w:rFonts w:ascii="Times New Roman" w:hAnsi="Times New Roman" w:cs="Times New Roman"/>
          <w:sz w:val="24"/>
          <w:szCs w:val="24"/>
        </w:rPr>
      </w:pPr>
      <w:r w:rsidRPr="00717D67">
        <w:rPr>
          <w:rFonts w:ascii="Times New Roman" w:hAnsi="Times New Roman" w:cs="Times New Roman"/>
          <w:sz w:val="24"/>
          <w:szCs w:val="24"/>
        </w:rPr>
        <w:t xml:space="preserve">Determine el número de soluciones enteras no negativas de la </w:t>
      </w:r>
      <w:r w:rsidR="00B37E61">
        <w:rPr>
          <w:rFonts w:ascii="Times New Roman" w:hAnsi="Times New Roman" w:cs="Times New Roman"/>
          <w:sz w:val="24"/>
          <w:szCs w:val="24"/>
        </w:rPr>
        <w:t>desigualdad:</w:t>
      </w:r>
    </w:p>
    <w:p w:rsidR="00A841DD" w:rsidRPr="00717D67" w:rsidRDefault="00A841DD" w:rsidP="00717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31" w:rsidRDefault="00BD730C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19≤x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r>
            <w:rPr>
              <w:rFonts w:ascii="Cambria Math" w:hAnsi="Times New Roman" w:cs="Times New Roman"/>
              <w:sz w:val="24"/>
              <w:szCs w:val="24"/>
            </w:rPr>
            <m:t>…</m:t>
          </m:r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r>
            <w:rPr>
              <w:rFonts w:ascii="Cambria Math" w:hAnsi="Times New Roman" w:cs="Times New Roman"/>
              <w:sz w:val="24"/>
              <w:szCs w:val="24"/>
            </w:rPr>
            <m:t>20</m:t>
          </m:r>
        </m:oMath>
      </m:oMathPara>
    </w:p>
    <w:p w:rsidR="00717D67" w:rsidRDefault="00717D67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Tema </w:t>
      </w:r>
      <w:r w:rsidR="00D60989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t>(</w:t>
      </w:r>
      <w:r w:rsidR="00D60989">
        <w:t>2</w:t>
      </w:r>
      <w:r w:rsidR="001872A6">
        <w:t>0</w:t>
      </w:r>
      <w:r>
        <w:t xml:space="preserve"> puntos)</w:t>
      </w:r>
    </w:p>
    <w:p w:rsidR="00717DF1" w:rsidRDefault="00717DF1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A9" w:rsidRDefault="009218A5" w:rsidP="009218A5">
      <w:pPr>
        <w:autoSpaceDE w:val="0"/>
        <w:autoSpaceDN w:val="0"/>
        <w:adjustRightInd w:val="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Encuentre todas las soluciones enteras de la ecuación:</w:t>
      </w:r>
    </w:p>
    <w:p w:rsidR="00A841DD" w:rsidRDefault="00A841DD" w:rsidP="009218A5">
      <w:pPr>
        <w:autoSpaceDE w:val="0"/>
        <w:autoSpaceDN w:val="0"/>
        <w:adjustRightInd w:val="0"/>
        <w:jc w:val="both"/>
        <w:rPr>
          <w:rFonts w:cstheme="minorHAnsi"/>
          <w:lang w:val="es-EC"/>
        </w:rPr>
      </w:pPr>
    </w:p>
    <w:p w:rsidR="009218A5" w:rsidRPr="00B37E61" w:rsidRDefault="009218A5" w:rsidP="009218A5">
      <w:pPr>
        <w:autoSpaceDE w:val="0"/>
        <w:autoSpaceDN w:val="0"/>
        <w:adjustRightInd w:val="0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30x+12y=1200</m:t>
          </m:r>
        </m:oMath>
      </m:oMathPara>
    </w:p>
    <w:p w:rsidR="00FA42A9" w:rsidRPr="00B37E61" w:rsidRDefault="00FA42A9" w:rsidP="00B37E61">
      <w:pPr>
        <w:jc w:val="both"/>
        <w:rPr>
          <w:rFonts w:cstheme="minorHAnsi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Tema </w:t>
      </w:r>
      <w:r w:rsidR="00D60989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t>(</w:t>
      </w:r>
      <w:r w:rsidR="00D60989">
        <w:t>2</w:t>
      </w:r>
      <w:r w:rsidR="001872A6">
        <w:t>0</w:t>
      </w:r>
      <w:r>
        <w:t xml:space="preserve"> puntos)</w:t>
      </w:r>
    </w:p>
    <w:p w:rsidR="00A47D2A" w:rsidRPr="00717D67" w:rsidRDefault="00A47D2A" w:rsidP="00717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2A" w:rsidRDefault="005C5DA8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Considere el trazo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líneas en el plano de modo que cada una de ellas interseque a las demás pero que cualesquiera tres líneas no coincidan en ningún punto. Para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n≥0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sea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 número de regiones que se forman al trazar las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líneas.</w:t>
      </w:r>
    </w:p>
    <w:p w:rsidR="005C5DA8" w:rsidRPr="00F057F8" w:rsidRDefault="00F057F8" w:rsidP="00F057F8">
      <w:pPr>
        <w:pStyle w:val="Prrafodelist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57F8">
        <w:rPr>
          <w:rFonts w:ascii="Times New Roman" w:eastAsiaTheme="minorEastAsia" w:hAnsi="Times New Roman" w:cs="Times New Roman"/>
          <w:sz w:val="24"/>
          <w:szCs w:val="24"/>
        </w:rPr>
        <w:t>Complete la siguiente tabla:</w:t>
      </w:r>
      <w:r w:rsidR="00AF4F9D">
        <w:rPr>
          <w:rFonts w:ascii="Times New Roman" w:eastAsiaTheme="minorEastAsia" w:hAnsi="Times New Roman" w:cs="Times New Roman"/>
          <w:sz w:val="24"/>
          <w:szCs w:val="24"/>
        </w:rPr>
        <w:t xml:space="preserve"> (5 puntos)</w:t>
      </w:r>
    </w:p>
    <w:tbl>
      <w:tblPr>
        <w:tblStyle w:val="Tablaconcuadrcula"/>
        <w:tblW w:w="0" w:type="auto"/>
        <w:jc w:val="center"/>
        <w:tblLook w:val="04A0"/>
      </w:tblPr>
      <w:tblGrid>
        <w:gridCol w:w="358"/>
        <w:gridCol w:w="473"/>
      </w:tblGrid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0" w:type="auto"/>
          </w:tcPr>
          <w:p w:rsidR="00F057F8" w:rsidRPr="00F057F8" w:rsidRDefault="00BD730C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</w:tr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tabs>
                <w:tab w:val="left" w:pos="288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7F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7F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7F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7F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7F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57F8" w:rsidTr="00F057F8">
        <w:trPr>
          <w:jc w:val="center"/>
        </w:trPr>
        <w:tc>
          <w:tcPr>
            <w:tcW w:w="0" w:type="auto"/>
          </w:tcPr>
          <w:p w:rsidR="00F057F8" w:rsidRPr="00F057F8" w:rsidRDefault="00F057F8" w:rsidP="00F05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57F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57F8" w:rsidRPr="00F057F8" w:rsidRDefault="00F057F8" w:rsidP="00F057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057F8" w:rsidRPr="00F057F8" w:rsidRDefault="00F057F8" w:rsidP="00F057F8">
      <w:pPr>
        <w:pStyle w:val="Prrafodelist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57F8">
        <w:rPr>
          <w:rFonts w:ascii="Times New Roman" w:eastAsiaTheme="minorEastAsia" w:hAnsi="Times New Roman" w:cs="Times New Roman"/>
          <w:sz w:val="24"/>
          <w:szCs w:val="24"/>
        </w:rPr>
        <w:t xml:space="preserve">Establezca una relación de recurrencia para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AF4F9D">
        <w:rPr>
          <w:rFonts w:ascii="Times New Roman" w:eastAsiaTheme="minorEastAsia" w:hAnsi="Times New Roman" w:cs="Times New Roman"/>
          <w:sz w:val="24"/>
          <w:szCs w:val="24"/>
        </w:rPr>
        <w:t xml:space="preserve"> (5 puntos)</w:t>
      </w:r>
    </w:p>
    <w:p w:rsidR="00F057F8" w:rsidRPr="00F057F8" w:rsidRDefault="00F057F8" w:rsidP="00F057F8">
      <w:pPr>
        <w:pStyle w:val="Prrafodelist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57F8">
        <w:rPr>
          <w:rFonts w:ascii="Times New Roman" w:eastAsiaTheme="minorEastAsia" w:hAnsi="Times New Roman" w:cs="Times New Roman"/>
          <w:sz w:val="24"/>
          <w:szCs w:val="24"/>
        </w:rPr>
        <w:t xml:space="preserve">Resuelva la relación de recurrencia anterior </w:t>
      </w:r>
      <w:r w:rsidR="00AF4F9D">
        <w:rPr>
          <w:rFonts w:ascii="Times New Roman" w:eastAsiaTheme="minorEastAsia" w:hAnsi="Times New Roman" w:cs="Times New Roman"/>
          <w:sz w:val="24"/>
          <w:szCs w:val="24"/>
        </w:rPr>
        <w:t xml:space="preserve"> (10 puntos)</w:t>
      </w: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0989" w:rsidRDefault="00D60989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Tema </w:t>
      </w:r>
      <w:r w:rsidR="00D60989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0989">
        <w:t>(2</w:t>
      </w:r>
      <w:r>
        <w:t>0 puntos)</w:t>
      </w:r>
    </w:p>
    <w:p w:rsidR="00717DF1" w:rsidRDefault="00717DF1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2A20" w:rsidRPr="00F057F8" w:rsidRDefault="00F057F8" w:rsidP="00717D67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Encuentre el coeficiente 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en el desarrollo en series de potencia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la función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Tema </w:t>
      </w:r>
      <w:r w:rsidR="00F057F8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872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0989">
        <w:t>(2</w:t>
      </w:r>
      <w:r w:rsidR="001872A6">
        <w:t>0 puntos)</w:t>
      </w:r>
    </w:p>
    <w:p w:rsidR="00F057F8" w:rsidRDefault="00AB302F" w:rsidP="00717DF1">
      <w:pPr>
        <w:jc w:val="both"/>
      </w:pPr>
      <w:r>
        <w:t>La tabla a continuación proporciona información acerca de la distancia existente</w:t>
      </w:r>
      <w:r w:rsidR="009815AF">
        <w:t xml:space="preserve"> (en millas)</w:t>
      </w:r>
      <w:r>
        <w:t xml:space="preserve"> entre pares de ciudades del Ecuador.</w:t>
      </w:r>
    </w:p>
    <w:p w:rsidR="009815AF" w:rsidRDefault="009815AF" w:rsidP="00717DF1">
      <w:pPr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375"/>
        <w:gridCol w:w="551"/>
        <w:gridCol w:w="551"/>
        <w:gridCol w:w="551"/>
        <w:gridCol w:w="551"/>
        <w:gridCol w:w="551"/>
        <w:gridCol w:w="551"/>
      </w:tblGrid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</w:tr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w:r>
              <w:t>119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---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290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277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168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303</w:t>
            </w:r>
          </w:p>
        </w:tc>
      </w:tr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w:r>
              <w:t>174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290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---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132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121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79</w:t>
            </w:r>
          </w:p>
        </w:tc>
      </w:tr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w:r>
              <w:t>198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277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132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---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153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58</w:t>
            </w:r>
          </w:p>
        </w:tc>
      </w:tr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168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121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153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---</w:t>
            </w:r>
          </w:p>
        </w:tc>
        <w:tc>
          <w:tcPr>
            <w:tcW w:w="0" w:type="auto"/>
          </w:tcPr>
          <w:p w:rsidR="00AB302F" w:rsidRDefault="009815AF" w:rsidP="00E76527">
            <w:pPr>
              <w:jc w:val="center"/>
            </w:pPr>
            <w:r>
              <w:t>140</w:t>
            </w:r>
          </w:p>
        </w:tc>
      </w:tr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w:r>
              <w:t>198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303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79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140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---</w:t>
            </w:r>
          </w:p>
        </w:tc>
      </w:tr>
      <w:tr w:rsidR="00AB302F" w:rsidTr="0088771C">
        <w:trPr>
          <w:jc w:val="center"/>
        </w:trPr>
        <w:tc>
          <w:tcPr>
            <w:tcW w:w="0" w:type="auto"/>
          </w:tcPr>
          <w:p w:rsidR="00AB302F" w:rsidRDefault="00AB302F" w:rsidP="00E765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</w:tc>
        <w:tc>
          <w:tcPr>
            <w:tcW w:w="0" w:type="auto"/>
          </w:tcPr>
          <w:p w:rsidR="00AB302F" w:rsidRDefault="00AB302F" w:rsidP="00E76527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113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201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164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AB302F" w:rsidRDefault="00E76527" w:rsidP="00E76527">
            <w:pPr>
              <w:jc w:val="center"/>
            </w:pPr>
            <w:r>
              <w:t>196</w:t>
            </w:r>
          </w:p>
        </w:tc>
      </w:tr>
    </w:tbl>
    <w:p w:rsidR="00AB302F" w:rsidRDefault="00AB302F" w:rsidP="00717DF1">
      <w:pPr>
        <w:jc w:val="both"/>
      </w:pPr>
    </w:p>
    <w:p w:rsidR="00AB302F" w:rsidRDefault="00AB302F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t>Se construirá un sistema de carreteras para unir estas siete ciudades. Determine las carreteras que deben construirse para minimizar el costo de construcción</w:t>
      </w:r>
      <w:r w:rsidR="009815AF">
        <w:t xml:space="preserve"> (considere que el costo de construcción de una milla de carretera es el mismo entre cualquier par de ciudades)</w:t>
      </w:r>
      <w:r>
        <w:t xml:space="preserve">, si debe existir una conexión directa entre las ciudades </w:t>
      </w:r>
      <w:r w:rsidR="00D60989">
        <w:t>C</w:t>
      </w:r>
      <w:r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D</m:t>
        </m:r>
      </m:oMath>
      <w:r w:rsidR="00D60989">
        <w:rPr>
          <w:rFonts w:eastAsiaTheme="minorEastAsia"/>
        </w:rPr>
        <w:t xml:space="preserve">, estableciendo claramente el algoritmo utilizado y las iteraciones respectivas  </w:t>
      </w:r>
      <w:r>
        <w:rPr>
          <w:rFonts w:eastAsiaTheme="minorEastAsia"/>
        </w:rPr>
        <w:t xml:space="preserve"> </w:t>
      </w:r>
    </w:p>
    <w:sectPr w:rsidR="00AB302F" w:rsidSect="0032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CD7"/>
    <w:multiLevelType w:val="hybridMultilevel"/>
    <w:tmpl w:val="372CE45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766A"/>
    <w:multiLevelType w:val="hybridMultilevel"/>
    <w:tmpl w:val="3F061A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0756"/>
    <w:multiLevelType w:val="hybridMultilevel"/>
    <w:tmpl w:val="4398B0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A6C13"/>
    <w:multiLevelType w:val="hybridMultilevel"/>
    <w:tmpl w:val="AC0CCB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3D5973"/>
    <w:rsid w:val="000023DB"/>
    <w:rsid w:val="00087C31"/>
    <w:rsid w:val="0010232B"/>
    <w:rsid w:val="001872A6"/>
    <w:rsid w:val="001D7A4F"/>
    <w:rsid w:val="00216C10"/>
    <w:rsid w:val="00250B24"/>
    <w:rsid w:val="00320F07"/>
    <w:rsid w:val="00391EBC"/>
    <w:rsid w:val="003955BC"/>
    <w:rsid w:val="003D5973"/>
    <w:rsid w:val="00452A20"/>
    <w:rsid w:val="0055333E"/>
    <w:rsid w:val="0058517E"/>
    <w:rsid w:val="005B5E0F"/>
    <w:rsid w:val="005C5DA8"/>
    <w:rsid w:val="005F17F7"/>
    <w:rsid w:val="00717D67"/>
    <w:rsid w:val="00717DF1"/>
    <w:rsid w:val="007B54B0"/>
    <w:rsid w:val="007E02E5"/>
    <w:rsid w:val="008535C9"/>
    <w:rsid w:val="00862839"/>
    <w:rsid w:val="0088430D"/>
    <w:rsid w:val="0088771C"/>
    <w:rsid w:val="009218A5"/>
    <w:rsid w:val="00937A2D"/>
    <w:rsid w:val="009815AF"/>
    <w:rsid w:val="00986B92"/>
    <w:rsid w:val="00A47D2A"/>
    <w:rsid w:val="00A841DD"/>
    <w:rsid w:val="00A962BC"/>
    <w:rsid w:val="00AB302F"/>
    <w:rsid w:val="00AD163D"/>
    <w:rsid w:val="00AF4F9D"/>
    <w:rsid w:val="00B01228"/>
    <w:rsid w:val="00B256D1"/>
    <w:rsid w:val="00B26EBB"/>
    <w:rsid w:val="00B37E61"/>
    <w:rsid w:val="00B9209B"/>
    <w:rsid w:val="00BD730C"/>
    <w:rsid w:val="00C3206E"/>
    <w:rsid w:val="00C617CA"/>
    <w:rsid w:val="00C84917"/>
    <w:rsid w:val="00D50A9B"/>
    <w:rsid w:val="00D60989"/>
    <w:rsid w:val="00E76527"/>
    <w:rsid w:val="00EC49BB"/>
    <w:rsid w:val="00F057F8"/>
    <w:rsid w:val="00F65A3B"/>
    <w:rsid w:val="00FA42A9"/>
    <w:rsid w:val="00FC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C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C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D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5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C3A9-D28F-4D16-A45C-B10A3203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314</Words>
  <Characters>1456</Characters>
  <Application>Microsoft Office Word</Application>
  <DocSecurity>0</DocSecurity>
  <Lines>291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Maridueña</dc:creator>
  <cp:keywords/>
  <dc:description/>
  <cp:lastModifiedBy>Erwin Delgado </cp:lastModifiedBy>
  <cp:revision>30</cp:revision>
  <cp:lastPrinted>2010-07-07T02:59:00Z</cp:lastPrinted>
  <dcterms:created xsi:type="dcterms:W3CDTF">2010-07-04T01:15:00Z</dcterms:created>
  <dcterms:modified xsi:type="dcterms:W3CDTF">2010-09-15T14:13:00Z</dcterms:modified>
</cp:coreProperties>
</file>