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0E" w:rsidRDefault="004B1C0E" w:rsidP="004B1C0E"/>
    <w:p w:rsidR="004B1C0E" w:rsidRDefault="004B1C0E" w:rsidP="004B1C0E"/>
    <w:tbl>
      <w:tblPr>
        <w:tblW w:w="874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459"/>
        <w:gridCol w:w="1262"/>
        <w:gridCol w:w="1263"/>
        <w:gridCol w:w="956"/>
        <w:gridCol w:w="1338"/>
        <w:gridCol w:w="1225"/>
        <w:gridCol w:w="720"/>
        <w:gridCol w:w="1115"/>
      </w:tblGrid>
      <w:tr w:rsidR="004B1C0E" w:rsidTr="006F4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6F4047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6F4047" w:rsidRDefault="006F40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8338" w:type="dxa"/>
            <w:gridSpan w:val="8"/>
          </w:tcPr>
          <w:p w:rsidR="006F4047" w:rsidRDefault="006F4047" w:rsidP="006F40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ESCUELA SUPERIOR POLITÉCNICA DEL LITORAL ESPOL</w:t>
            </w:r>
          </w:p>
        </w:tc>
      </w:tr>
      <w:tr w:rsidR="006F4047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6F4047" w:rsidRDefault="006F40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8338" w:type="dxa"/>
            <w:gridSpan w:val="8"/>
          </w:tcPr>
          <w:p w:rsidR="006F4047" w:rsidRDefault="006F4047" w:rsidP="006F40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EXAMEN PRIMER PARCIAL</w:t>
            </w:r>
          </w:p>
        </w:tc>
      </w:tr>
      <w:tr w:rsidR="006F4047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6F4047" w:rsidRDefault="006F40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8338" w:type="dxa"/>
            <w:gridSpan w:val="8"/>
          </w:tcPr>
          <w:p w:rsidR="006F4047" w:rsidRDefault="006F4047" w:rsidP="006F40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CONTABILIDAD DE COSTOS</w:t>
            </w: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633" w:type="dxa"/>
            <w:gridSpan w:val="8"/>
          </w:tcPr>
          <w:p w:rsid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NOMBRE:_____________________________________________________</w:t>
            </w: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633" w:type="dxa"/>
            <w:gridSpan w:val="8"/>
          </w:tcPr>
          <w:p w:rsid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PARALELO: ___________________          FECHA: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F4047" w:rsidRPr="006F4047"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>Julio 08 del 2010</w:t>
            </w: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C95C47" w:rsidTr="006A340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748" w:type="dxa"/>
            <w:gridSpan w:val="9"/>
          </w:tcPr>
          <w:p w:rsidR="00C95C47" w:rsidRPr="00C95C47" w:rsidRDefault="00C95C47" w:rsidP="00C95C4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iCs/>
                <w:color w:val="000000"/>
                <w:sz w:val="28"/>
                <w:szCs w:val="28"/>
              </w:rPr>
            </w:pPr>
            <w:r w:rsidRPr="00C95C4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TEMA 1.- TEORÍA  (10 PUNTOS)</w:t>
            </w: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33" w:type="dxa"/>
            <w:gridSpan w:val="8"/>
          </w:tcPr>
          <w:p w:rsid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Encierre en una circunferencia el literal de la respuesta correcta:</w:t>
            </w: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</w:tr>
      <w:tr w:rsidR="004B1C0E" w:rsidTr="006F404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1.-</w:t>
            </w:r>
          </w:p>
        </w:tc>
        <w:tc>
          <w:tcPr>
            <w:tcW w:w="5278" w:type="dxa"/>
            <w:gridSpan w:val="5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Hoja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de Costos se emplea para registrar: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a.-</w:t>
            </w: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 información detallada de cómo emplean su jornada laboral los trabajadores directos.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b.-</w:t>
            </w:r>
          </w:p>
        </w:tc>
        <w:tc>
          <w:tcPr>
            <w:tcW w:w="6044" w:type="dxa"/>
            <w:gridSpan w:val="5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Los costos de producción de cada una de las Órdenes.</w:t>
            </w: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c.-</w:t>
            </w:r>
          </w:p>
        </w:tc>
        <w:tc>
          <w:tcPr>
            <w:tcW w:w="4819" w:type="dxa"/>
            <w:gridSpan w:val="4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Los materiales recibidos por el almacenista.</w:t>
            </w:r>
          </w:p>
        </w:tc>
        <w:tc>
          <w:tcPr>
            <w:tcW w:w="122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d.- </w:t>
            </w:r>
          </w:p>
        </w:tc>
        <w:tc>
          <w:tcPr>
            <w:tcW w:w="3481" w:type="dxa"/>
            <w:gridSpan w:val="3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Todos los literales anteriores.</w:t>
            </w:r>
          </w:p>
        </w:tc>
        <w:tc>
          <w:tcPr>
            <w:tcW w:w="1338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2.-</w:t>
            </w:r>
          </w:p>
        </w:tc>
        <w:tc>
          <w:tcPr>
            <w:tcW w:w="8338" w:type="dxa"/>
            <w:gridSpan w:val="8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Las características del Sistema de Costos por Ordenes de Producción son: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a.-</w:t>
            </w:r>
          </w:p>
        </w:tc>
        <w:tc>
          <w:tcPr>
            <w:tcW w:w="6044" w:type="dxa"/>
            <w:gridSpan w:val="5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 unidad de costeo es un grupo o lote de productos iguales.</w:t>
            </w:r>
          </w:p>
        </w:tc>
        <w:tc>
          <w:tcPr>
            <w:tcW w:w="720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b-</w:t>
            </w: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 fabricación de cada lote se emprende mediante una Orden de Producción.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c.-</w:t>
            </w: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Los costos se acumulan para cada orden de producción por separado.</w:t>
            </w: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d.-</w:t>
            </w: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El costo unitario se obtiene dividiendo los costos totales de cada orden por el número de unidades producidas en dicha orden.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e.-</w:t>
            </w:r>
          </w:p>
        </w:tc>
        <w:tc>
          <w:tcPr>
            <w:tcW w:w="3481" w:type="dxa"/>
            <w:gridSpan w:val="3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Todos los literales anteriores.</w:t>
            </w:r>
          </w:p>
        </w:tc>
        <w:tc>
          <w:tcPr>
            <w:tcW w:w="1338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A34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3.-</w:t>
            </w:r>
          </w:p>
        </w:tc>
        <w:tc>
          <w:tcPr>
            <w:tcW w:w="8338" w:type="dxa"/>
            <w:gridSpan w:val="8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En un sistema de costeo por órdenes de producción, el consumo de  materiales indirectos  se registra con débito a la cuenta: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a.-</w:t>
            </w:r>
          </w:p>
        </w:tc>
        <w:tc>
          <w:tcPr>
            <w:tcW w:w="4819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de Productos en Proceso.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b.-</w:t>
            </w: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de Materiales.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c.-</w:t>
            </w: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Nómina de Fábrica.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d.-</w:t>
            </w:r>
          </w:p>
        </w:tc>
        <w:tc>
          <w:tcPr>
            <w:tcW w:w="4819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Costos Generales de Fabricación - Control.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e.-</w:t>
            </w: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Todos los literales anteriores.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4.-</w:t>
            </w:r>
          </w:p>
        </w:tc>
        <w:tc>
          <w:tcPr>
            <w:tcW w:w="3940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 clase de sistemas de costos son: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a.-</w:t>
            </w:r>
          </w:p>
        </w:tc>
        <w:tc>
          <w:tcPr>
            <w:tcW w:w="6044" w:type="dxa"/>
            <w:gridSpan w:val="5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Costos por </w:t>
            </w:r>
            <w:r w:rsidR="004E3965"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Órdenes</w:t>
            </w: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de Producción y Proceso.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b.-</w:t>
            </w:r>
          </w:p>
        </w:tc>
        <w:tc>
          <w:tcPr>
            <w:tcW w:w="4819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Base Histórica y Predeterminada.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c.-</w:t>
            </w: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Doctrinas del Costeo Total o Costeo Absorción y Costeo Directo o Variable.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d.- </w:t>
            </w: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Todos los literales anteriores.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B1C0E" w:rsidRPr="007B7034" w:rsidTr="006F40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748" w:type="dxa"/>
            <w:gridSpan w:val="9"/>
          </w:tcPr>
          <w:p w:rsidR="004B1C0E" w:rsidRPr="00C95C47" w:rsidRDefault="004B1C0E" w:rsidP="007B703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C95C4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lastRenderedPageBreak/>
              <w:t>TEMA 2.- EJERCICIO DE COSTOS POR ÓRDENES DE PRODUCCIÓN (45 PUNTOS)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48" w:type="dxa"/>
            <w:gridSpan w:val="9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Producciones Fernández  tiene un sistema de costos por órdenes de producción.   La empresa cierra libros cada mes. 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3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Recomendaciones: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50" w:type="dxa"/>
            <w:gridSpan w:val="5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En las transacciones se deberá incluir: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El Impuesto al Valor Agregado -IVA con la tarifa que corresponda.</w:t>
            </w: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 w:rsidP="006F404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Retenciones en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Fuente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: del impuesto a la renta y del impuesto al Valor Agregado en el porcentaje respectivo.    Producciones Fernández es contribuyente especial.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48" w:type="dxa"/>
            <w:gridSpan w:val="9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Para el año 2010 la tasa predeterminada se calculó con base en los siguientes presupuestos: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94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Costos Generales de Fabricación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1,300,000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3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Horas  máquina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   190,000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3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Saldos iniciales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94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de Art. Terminados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94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de Materiales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748" w:type="dxa"/>
            <w:gridSpan w:val="9"/>
          </w:tcPr>
          <w:p w:rsidR="004B1C0E" w:rsidRPr="004B1C0E" w:rsidRDefault="004B1C0E" w:rsidP="006F404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Durante el mes de Junio del  2010 ocurrieron las siguientes transacciones relacionadas con la producción.  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 w:rsidP="006F404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Compra de materiales por USD 650,000  a </w:t>
            </w:r>
            <w:smartTag w:uri="urn:schemas-microsoft-com:office:smarttags" w:element="PersonName">
              <w:smartTagPr>
                <w:attr w:name="ProductID" w:val="la Empresa La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Empresa La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Ecuatoriana S.A. (Contribuyente especial),  proveedor nos  da crédito por 45 días.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2.-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Uso de materiales: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OP No.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OP No.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 100,000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OP No.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OP No.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120,000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Para lubricar las maquinarias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   80,000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Se devuelve  materiales de </w:t>
            </w:r>
            <w:smartTag w:uri="urn:schemas-microsoft-com:office:smarttags" w:element="PersonName">
              <w:smartTagPr>
                <w:attr w:name="ProductID" w:val="la OP No."/>
              </w:smartTagPr>
              <w:r w:rsidRPr="004B1C0E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la OP No.</w:t>
              </w:r>
            </w:smartTag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100 por USD 25,000 por cuanto el Supervisor efectuó una requisición en exceso.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4.-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Se utilizan  repuestos de maquinaria   para el sector de la producción por USD 5,000.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5.-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Pago de nómina con cheque, considerando los siguientes datos:</w:t>
            </w: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Departamento de Administración: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Sueldo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F40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F4047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 xml:space="preserve">Carlos Narváez </w:t>
            </w:r>
          </w:p>
        </w:tc>
        <w:tc>
          <w:tcPr>
            <w:tcW w:w="2219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Gerente General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$.       5,000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F40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F4047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María Pérez</w:t>
            </w:r>
          </w:p>
        </w:tc>
        <w:tc>
          <w:tcPr>
            <w:tcW w:w="2219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Secretaria Gerencia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800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6F4047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6F4047" w:rsidRPr="006F4047" w:rsidRDefault="006F404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F4047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 xml:space="preserve">Carlos Andrade </w:t>
            </w:r>
          </w:p>
        </w:tc>
        <w:tc>
          <w:tcPr>
            <w:tcW w:w="2219" w:type="dxa"/>
            <w:gridSpan w:val="2"/>
          </w:tcPr>
          <w:p w:rsidR="006F4047" w:rsidRPr="004B1C0E" w:rsidRDefault="006F4047" w:rsidP="006F40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Contador</w:t>
            </w:r>
          </w:p>
        </w:tc>
        <w:tc>
          <w:tcPr>
            <w:tcW w:w="1338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2,000 </w:t>
            </w:r>
          </w:p>
        </w:tc>
        <w:tc>
          <w:tcPr>
            <w:tcW w:w="1225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6F4047" w:rsidRPr="004B1C0E" w:rsidRDefault="006F40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Subtotal - Administración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          7,800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Departamento de Ventas: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Sueldo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Comisiones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F40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F4047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David Mosquera</w:t>
            </w:r>
          </w:p>
        </w:tc>
        <w:tc>
          <w:tcPr>
            <w:tcW w:w="2219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Jefe de Ventas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2,500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$.    200.00 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F40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F4047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Mauricio Vidal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Vendedor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600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100 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Subtotal  - Ventas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          3,100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Departamento de Producción: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Sueldo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Hor. Extras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A340D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Francisco Reyes</w:t>
            </w:r>
          </w:p>
        </w:tc>
        <w:tc>
          <w:tcPr>
            <w:tcW w:w="2219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Jefe de Fábrica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3,000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A340D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Pedro Yánez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Obrero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400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100 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6A340D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Juan Reascos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Obrero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</w:pPr>
            <w:r w:rsidRPr="006A340D"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  <w:t xml:space="preserve">              400 </w:t>
            </w:r>
          </w:p>
        </w:tc>
        <w:tc>
          <w:tcPr>
            <w:tcW w:w="1225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</w:pPr>
            <w:r w:rsidRPr="006A340D"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  <w:t xml:space="preserve">              60 </w:t>
            </w:r>
          </w:p>
        </w:tc>
        <w:tc>
          <w:tcPr>
            <w:tcW w:w="720" w:type="dxa"/>
          </w:tcPr>
          <w:p w:rsidR="004B1C0E" w:rsidRPr="006A340D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Subtotal Producción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$.       3,800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Las deducciones fueron como sigue: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Préstamos Trabajadores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Impuesto a la Renta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$.        700 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Calcule el aporte individual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Efectuar la cancelación de la nómina  y  distribución de la nómina del sector producción.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6.-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Costos y Gastos  pagados en Cheque (Se sugiere elaborar un asiento por cada caso):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a)</w:t>
            </w:r>
          </w:p>
        </w:tc>
        <w:tc>
          <w:tcPr>
            <w:tcW w:w="4819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Se cancelan fletes del sector producción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     1,000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b)</w:t>
            </w: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Arrendamiento de un local comercial ubicado en el centro de la ciudad, el mismo que se cancela a una persona natural no obligada a llevar Contabilidad.</w:t>
            </w:r>
          </w:p>
        </w:tc>
        <w:tc>
          <w:tcPr>
            <w:tcW w:w="1115" w:type="dxa"/>
          </w:tcPr>
          <w:p w:rsidR="004B1C0E" w:rsidRPr="004B1C0E" w:rsidRDefault="004B1C0E" w:rsidP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2,000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 w:rsidP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c)</w:t>
            </w: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Energía Eléctrica  (70% Sector de la producción y 20% administración y 10% sector Venta)</w:t>
            </w:r>
          </w:p>
        </w:tc>
        <w:tc>
          <w:tcPr>
            <w:tcW w:w="1115" w:type="dxa"/>
          </w:tcPr>
          <w:p w:rsidR="004B1C0E" w:rsidRPr="004B1C0E" w:rsidRDefault="004B1C0E" w:rsidP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     10,000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 w:rsidP="006A340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El total de horas máquina del mes de  Junio por todas las </w:t>
            </w:r>
            <w:r w:rsidR="004E3965"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órdenes</w:t>
            </w: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de producción  fueron  14.000.   Efectuar asiento contable por el total  distribuido en   Costos Generales en cada orden de producción. 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El saldo final de la cuenta de Inventario de Productos en Proceso es   $  40,000.   Efectuar asiento contable por el costo de los artículos terminados.  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9.-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El saldo final de la cuenta de Inventario de Productos Terminados es de  $ 50,000.  Registrar el costo de los artículos vendidos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C95C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</w:pPr>
            <w:r w:rsidRPr="00C95C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  <w:t>10.-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4" w:type="dxa"/>
            <w:gridSpan w:val="6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Las ventas fueron de contado por un total de USD 618,000 (Precio de Vta.)  </w:t>
            </w: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C95C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0" w:type="dxa"/>
          </w:tcPr>
          <w:p w:rsidR="004B1C0E" w:rsidRPr="00C95C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</w:pPr>
            <w:r w:rsidRPr="00C95C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  <w:t>11.-</w:t>
            </w: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9" w:type="dxa"/>
            <w:gridSpan w:val="7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La variación de los Costos Generales de Fabricación se serró contra los costos de productos vendidos  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</w:tcPr>
          <w:p w:rsidR="004B1C0E" w:rsidRPr="00C95C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50" w:type="dxa"/>
            <w:gridSpan w:val="5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Se pide: Elaborar los asientos contables.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913" w:type="dxa"/>
            <w:gridSpan w:val="7"/>
          </w:tcPr>
          <w:p w:rsidR="004B1C0E" w:rsidRPr="00C95C47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C95C47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TEMA 3.- ESTADO DE COSTOS  (15 Puntos)</w:t>
            </w: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48" w:type="dxa"/>
            <w:gridSpan w:val="9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Manufactureras Ecuador Bonito presenta la siguiente información de marzo 2010:</w:t>
            </w: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Mano de obra Directa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$.      18,000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Productos en Proceso 3/1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5,000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Productos Terminados 3/31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7,000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Materiales Directos Usados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8,000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Productos en Proceso 3/31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2,500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Inventario Productos Terminados 3/1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3,000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3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Costos Generales de Fabricación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20,000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Ventas</w:t>
            </w: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60,000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Gastos de Ventas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5,000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Gastos de Administración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$.       4,000 </w:t>
            </w: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9" w:type="dxa"/>
            <w:gridSpan w:val="2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Se pide:</w:t>
            </w:r>
          </w:p>
        </w:tc>
        <w:tc>
          <w:tcPr>
            <w:tcW w:w="1262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50" w:type="dxa"/>
            <w:gridSpan w:val="5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1,- Estado de Costos de Productos Vendidos </w:t>
            </w: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1C0E" w:rsidRPr="004B1C0E" w:rsidTr="006F40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94" w:type="dxa"/>
            <w:gridSpan w:val="4"/>
          </w:tcPr>
          <w:p w:rsidR="004B1C0E" w:rsidRPr="004B1C0E" w:rsidRDefault="004B1C0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B1C0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2,- Estado de Rentas y Gastos </w:t>
            </w:r>
          </w:p>
        </w:tc>
        <w:tc>
          <w:tcPr>
            <w:tcW w:w="956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</w:tcPr>
          <w:p w:rsidR="004B1C0E" w:rsidRPr="004B1C0E" w:rsidRDefault="004B1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1C0E" w:rsidRPr="004B1C0E" w:rsidRDefault="004B1C0E" w:rsidP="004B1C0E">
      <w:pPr>
        <w:rPr>
          <w:sz w:val="18"/>
          <w:szCs w:val="18"/>
        </w:rPr>
      </w:pPr>
    </w:p>
    <w:sectPr w:rsidR="004B1C0E" w:rsidRPr="004B1C0E" w:rsidSect="006F4047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81" w:rsidRDefault="00E42A81">
      <w:r>
        <w:separator/>
      </w:r>
    </w:p>
  </w:endnote>
  <w:endnote w:type="continuationSeparator" w:id="1">
    <w:p w:rsidR="00E42A81" w:rsidRDefault="00E4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87" w:rsidRDefault="00FD7787" w:rsidP="00E42A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7787" w:rsidRDefault="00FD77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87" w:rsidRDefault="00FD7787" w:rsidP="00E42A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53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7787" w:rsidRDefault="00FD77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81" w:rsidRDefault="00E42A81">
      <w:r>
        <w:separator/>
      </w:r>
    </w:p>
  </w:footnote>
  <w:footnote w:type="continuationSeparator" w:id="1">
    <w:p w:rsidR="00E42A81" w:rsidRDefault="00E42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761"/>
    <w:rsid w:val="004B1C0E"/>
    <w:rsid w:val="004E3965"/>
    <w:rsid w:val="0068530D"/>
    <w:rsid w:val="006A340D"/>
    <w:rsid w:val="006F4047"/>
    <w:rsid w:val="007B7034"/>
    <w:rsid w:val="0089004A"/>
    <w:rsid w:val="009518FA"/>
    <w:rsid w:val="00C95C47"/>
    <w:rsid w:val="00D36761"/>
    <w:rsid w:val="00E42A81"/>
    <w:rsid w:val="00F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518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CASJUCA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ygonzalez</dc:creator>
  <cp:keywords/>
  <dc:description/>
  <cp:lastModifiedBy>silgivar</cp:lastModifiedBy>
  <cp:revision>2</cp:revision>
  <dcterms:created xsi:type="dcterms:W3CDTF">2010-09-29T17:47:00Z</dcterms:created>
  <dcterms:modified xsi:type="dcterms:W3CDTF">2010-09-29T17:47:00Z</dcterms:modified>
</cp:coreProperties>
</file>