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25" w:rsidRPr="007D5225" w:rsidRDefault="007D5225" w:rsidP="007D5225">
      <w:pPr>
        <w:spacing w:before="100" w:beforeAutospacing="1" w:after="100" w:afterAutospacing="1" w:line="240" w:lineRule="auto"/>
        <w:jc w:val="both"/>
        <w:rPr>
          <w:rFonts w:ascii="Arial" w:eastAsia="Times New Roman" w:hAnsi="Arial" w:cs="Arial"/>
          <w:b/>
          <w:lang w:eastAsia="es-ES"/>
        </w:rPr>
      </w:pPr>
      <w:r w:rsidRPr="007D5225">
        <w:rPr>
          <w:rFonts w:ascii="Arial" w:eastAsia="Times New Roman" w:hAnsi="Arial" w:cs="Arial"/>
          <w:b/>
          <w:lang w:eastAsia="es-ES"/>
        </w:rPr>
        <w:t>EXAMEN DE GERENCIA DE OPERACIONES</w:t>
      </w:r>
    </w:p>
    <w:p w:rsidR="007D5225" w:rsidRPr="007D5225" w:rsidRDefault="007D5225" w:rsidP="007D5225">
      <w:pPr>
        <w:spacing w:before="100" w:beforeAutospacing="1" w:after="100" w:afterAutospacing="1" w:line="240" w:lineRule="auto"/>
        <w:jc w:val="both"/>
        <w:rPr>
          <w:rFonts w:ascii="Arial" w:eastAsia="Times New Roman" w:hAnsi="Arial" w:cs="Arial"/>
          <w:b/>
          <w:lang w:eastAsia="es-ES"/>
        </w:rPr>
      </w:pPr>
      <w:r w:rsidRPr="007D5225">
        <w:rPr>
          <w:rFonts w:ascii="Arial" w:eastAsia="Times New Roman" w:hAnsi="Arial" w:cs="Arial"/>
          <w:b/>
          <w:lang w:eastAsia="es-ES"/>
        </w:rPr>
        <w:t xml:space="preserve">NOMBRE: </w:t>
      </w:r>
    </w:p>
    <w:p w:rsidR="00CB79D9" w:rsidRPr="00CB79D9" w:rsidRDefault="007D5225" w:rsidP="007D5225">
      <w:p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eastAsia="es-ES"/>
        </w:rPr>
        <w:t xml:space="preserve">1. </w:t>
      </w:r>
      <w:r w:rsidR="00CB79D9" w:rsidRPr="00CB79D9">
        <w:rPr>
          <w:rFonts w:ascii="Arial" w:eastAsia="Times New Roman" w:hAnsi="Arial" w:cs="Arial"/>
          <w:lang w:eastAsia="es-ES"/>
        </w:rPr>
        <w:t xml:space="preserve">Un complejo industrial produce dos productos, A y B, los que comercializa en mercados perfectamente competitivos a $120 y $630 por unidad respectivamente. </w:t>
      </w:r>
      <w:r>
        <w:rPr>
          <w:rFonts w:ascii="Arial" w:eastAsia="Times New Roman" w:hAnsi="Arial" w:cs="Arial"/>
          <w:lang w:eastAsia="es-ES"/>
        </w:rPr>
        <w:t xml:space="preserve"> </w:t>
      </w:r>
      <w:r w:rsidR="00CB79D9" w:rsidRPr="00CB79D9">
        <w:rPr>
          <w:rFonts w:ascii="Arial" w:eastAsia="Times New Roman" w:hAnsi="Arial" w:cs="Arial"/>
          <w:lang w:eastAsia="es-ES"/>
        </w:rPr>
        <w:t>Para producir cada uno de estos bienes se requieren respectivamente por cada 100 unidades, 4 y 8 horas/operario y, 1 y 3 horas/supervisor. También se</w:t>
      </w:r>
      <w:r w:rsidR="0055293B" w:rsidRPr="007D5225">
        <w:rPr>
          <w:rFonts w:ascii="Arial" w:eastAsia="Times New Roman" w:hAnsi="Arial" w:cs="Arial"/>
          <w:lang w:eastAsia="es-ES"/>
        </w:rPr>
        <w:t xml:space="preserve"> necesita de máquinas tipo X y </w:t>
      </w:r>
      <w:r w:rsidR="00CB79D9" w:rsidRPr="00CB79D9">
        <w:rPr>
          <w:rFonts w:ascii="Arial" w:eastAsia="Times New Roman" w:hAnsi="Arial" w:cs="Arial"/>
          <w:lang w:eastAsia="es-ES"/>
        </w:rPr>
        <w:t xml:space="preserve">tipo Y para el procesamiento de estos productos. El parque de máquinas tipo X tiene una capacidad para procesar 40 y 60 unidades de cada uno de los productos citados respectivamente por minuto y en forma simultánea. Mientras que el parque de máquinas de tipo Y utiliza igual tiempo de procesamiento por </w:t>
      </w:r>
      <w:r w:rsidR="007203E9">
        <w:rPr>
          <w:rFonts w:ascii="Arial" w:eastAsia="Times New Roman" w:hAnsi="Arial" w:cs="Arial"/>
          <w:lang w:eastAsia="es-ES"/>
        </w:rPr>
        <w:t>producto pero en forma inversa.</w:t>
      </w:r>
      <w:r w:rsidR="00CB79D9" w:rsidRPr="00CB79D9">
        <w:rPr>
          <w:rFonts w:ascii="Arial" w:eastAsia="Times New Roman" w:hAnsi="Arial" w:cs="Arial"/>
          <w:lang w:eastAsia="es-ES"/>
        </w:rPr>
        <w:t xml:space="preserve"> El producto B requiere a su vez como insumo de 2 unidades de A por cada unidad de B. La materia prima indispensable para producir A es de </w:t>
      </w:r>
      <w:smartTag w:uri="urn:schemas-microsoft-com:office:smarttags" w:element="metricconverter">
        <w:smartTagPr>
          <w:attr w:name="ProductID" w:val="2 kg"/>
        </w:smartTagPr>
        <w:r w:rsidR="00CB79D9" w:rsidRPr="00CB79D9">
          <w:rPr>
            <w:rFonts w:ascii="Arial" w:eastAsia="Times New Roman" w:hAnsi="Arial" w:cs="Arial"/>
            <w:lang w:eastAsia="es-ES"/>
          </w:rPr>
          <w:t>2 kg</w:t>
        </w:r>
      </w:smartTag>
      <w:r w:rsidR="00CB79D9" w:rsidRPr="00CB79D9">
        <w:rPr>
          <w:rFonts w:ascii="Arial" w:eastAsia="Times New Roman" w:hAnsi="Arial" w:cs="Arial"/>
          <w:lang w:eastAsia="es-ES"/>
        </w:rPr>
        <w:t xml:space="preserve">. por unidad cuyo costo por kg. es de $10, en la medida en que no se excedan las 10 toneladas de consumo por período y de $15 por el excedente de dicho tonelaje, si lo hubiera. </w:t>
      </w:r>
    </w:p>
    <w:p w:rsidR="00CB79D9" w:rsidRPr="007D5225" w:rsidRDefault="00CB79D9" w:rsidP="007D5225">
      <w:pPr>
        <w:spacing w:before="100" w:beforeAutospacing="1" w:after="100" w:afterAutospacing="1" w:line="240" w:lineRule="auto"/>
        <w:jc w:val="both"/>
        <w:rPr>
          <w:rFonts w:ascii="Arial" w:eastAsia="Times New Roman" w:hAnsi="Arial" w:cs="Arial"/>
          <w:lang w:eastAsia="es-ES"/>
        </w:rPr>
      </w:pPr>
      <w:r w:rsidRPr="00CB79D9">
        <w:rPr>
          <w:rFonts w:ascii="Arial" w:eastAsia="Times New Roman" w:hAnsi="Arial" w:cs="Arial"/>
          <w:lang w:eastAsia="es-ES"/>
        </w:rPr>
        <w:t xml:space="preserve">La empresa considerada dispone de 10 operarios y de 3 supervisores y, en cada período, de 7 horas-máquina tipo X y de 13 horas-máquina del otro tipo. Las horas efectivas de trabajo suman 9 horas por período y por trabajador. Es posible disponer horas/operario extra a un costo de $60 la hora. El equipo de ventas puede comercializar hasta un máximo de 3000 y 8000 unidades de A y B respectivamente por período. Cuando no se especifica la duración, el período se asume de una duración de 9 horas. </w:t>
      </w:r>
    </w:p>
    <w:p w:rsidR="007D5225" w:rsidRDefault="007D5225" w:rsidP="007D5225">
      <w:pPr>
        <w:pStyle w:val="Prrafodelista"/>
        <w:numPr>
          <w:ilvl w:val="0"/>
          <w:numId w:val="8"/>
        </w:numPr>
        <w:spacing w:before="100" w:beforeAutospacing="1" w:after="100" w:afterAutospacing="1" w:line="240" w:lineRule="auto"/>
        <w:jc w:val="both"/>
        <w:rPr>
          <w:rFonts w:ascii="Arial" w:eastAsia="Times New Roman" w:hAnsi="Arial" w:cs="Arial"/>
          <w:lang w:val="es-ES_tradnl" w:eastAsia="es-ES"/>
        </w:rPr>
      </w:pPr>
      <w:r w:rsidRPr="007D5225">
        <w:rPr>
          <w:rFonts w:ascii="Arial" w:eastAsia="Times New Roman" w:hAnsi="Arial" w:cs="Arial"/>
          <w:lang w:val="es-ES_tradnl" w:eastAsia="es-ES"/>
        </w:rPr>
        <w:t xml:space="preserve">Plantee en términos de programación lineal el problema de optimización que enfrenta </w:t>
      </w:r>
      <w:smartTag w:uri="urn:schemas-microsoft-com:office:smarttags" w:element="PersonName">
        <w:smartTagPr>
          <w:attr w:name="ProductID" w:val="la Direcci￳n"/>
        </w:smartTagPr>
        <w:r w:rsidRPr="007D5225">
          <w:rPr>
            <w:rFonts w:ascii="Arial" w:eastAsia="Times New Roman" w:hAnsi="Arial" w:cs="Arial"/>
            <w:lang w:val="es-ES_tradnl" w:eastAsia="es-ES"/>
          </w:rPr>
          <w:t>la Dirección</w:t>
        </w:r>
      </w:smartTag>
      <w:r w:rsidRPr="007D5225">
        <w:rPr>
          <w:rFonts w:ascii="Arial" w:eastAsia="Times New Roman" w:hAnsi="Arial" w:cs="Arial"/>
          <w:lang w:val="es-ES_tradnl" w:eastAsia="es-ES"/>
        </w:rPr>
        <w:t xml:space="preserve"> del complejo industrial.</w:t>
      </w:r>
    </w:p>
    <w:p w:rsidR="0055293B" w:rsidRPr="0055293B" w:rsidRDefault="0055293B" w:rsidP="007D5225">
      <w:pPr>
        <w:spacing w:before="100" w:beforeAutospacing="1" w:after="100" w:afterAutospacing="1" w:line="240" w:lineRule="auto"/>
        <w:ind w:hanging="360"/>
        <w:jc w:val="both"/>
        <w:rPr>
          <w:rFonts w:ascii="Arial" w:eastAsia="Times New Roman" w:hAnsi="Arial" w:cs="Arial"/>
          <w:lang w:eastAsia="es-ES"/>
        </w:rPr>
      </w:pPr>
      <w:r w:rsidRPr="007D5225">
        <w:rPr>
          <w:rFonts w:ascii="Arial" w:eastAsia="Times New Roman" w:hAnsi="Arial" w:cs="Arial"/>
          <w:lang w:val="es-ES_tradnl" w:eastAsia="es-ES"/>
        </w:rPr>
        <w:tab/>
      </w:r>
      <w:r w:rsidR="007D5225">
        <w:rPr>
          <w:rFonts w:ascii="Arial" w:eastAsia="Times New Roman" w:hAnsi="Arial" w:cs="Arial"/>
          <w:lang w:val="es-ES_tradnl" w:eastAsia="es-ES"/>
        </w:rPr>
        <w:t xml:space="preserve">2. </w:t>
      </w:r>
      <w:smartTag w:uri="urn:schemas-microsoft-com:office:smarttags" w:element="PersonName">
        <w:smartTagPr>
          <w:attr w:name="ProductID" w:val="La Constructora"/>
        </w:smartTagPr>
        <w:r w:rsidRPr="0055293B">
          <w:rPr>
            <w:rFonts w:ascii="Arial" w:eastAsia="Times New Roman" w:hAnsi="Arial" w:cs="Arial"/>
            <w:lang w:val="es-ES_tradnl" w:eastAsia="es-ES"/>
          </w:rPr>
          <w:t>La Constructora</w:t>
        </w:r>
      </w:smartTag>
      <w:r w:rsidRPr="0055293B">
        <w:rPr>
          <w:rFonts w:ascii="Arial" w:eastAsia="Times New Roman" w:hAnsi="Arial" w:cs="Arial"/>
          <w:lang w:val="es-ES_tradnl" w:eastAsia="es-ES"/>
        </w:rPr>
        <w:t xml:space="preserve">  Casas Ltda., se ha adjudicado la construcción de 100 casas. El contrato la obliga a construir dos tipos de casas. Para los beneficiarios las casas tienen el mismo costo, pero para Constructora Casas, éstas tienen un margen de utilidad diferente, así las casas tipo campo arrojan </w:t>
      </w:r>
      <w:r w:rsidRPr="007D5225">
        <w:rPr>
          <w:rFonts w:ascii="Arial" w:eastAsia="Times New Roman" w:hAnsi="Arial" w:cs="Arial"/>
          <w:lang w:val="es-ES_tradnl" w:eastAsia="es-ES"/>
        </w:rPr>
        <w:t xml:space="preserve">15.100 </w:t>
      </w:r>
      <w:r w:rsidRPr="0055293B">
        <w:rPr>
          <w:rFonts w:ascii="Arial" w:eastAsia="Times New Roman" w:hAnsi="Arial" w:cs="Arial"/>
          <w:lang w:val="es-ES_tradnl" w:eastAsia="es-ES"/>
        </w:rPr>
        <w:t>$</w:t>
      </w:r>
      <w:r w:rsidRPr="007D5225">
        <w:rPr>
          <w:rFonts w:ascii="Arial" w:eastAsia="Times New Roman" w:hAnsi="Arial" w:cs="Arial"/>
          <w:lang w:val="es-ES_tradnl" w:eastAsia="es-ES"/>
        </w:rPr>
        <w:t>/casa</w:t>
      </w:r>
      <w:r w:rsidRPr="0055293B">
        <w:rPr>
          <w:rFonts w:ascii="Arial" w:eastAsia="Times New Roman" w:hAnsi="Arial" w:cs="Arial"/>
          <w:lang w:val="es-ES_tradnl" w:eastAsia="es-ES"/>
        </w:rPr>
        <w:t xml:space="preserve"> y las de tipo rancho </w:t>
      </w:r>
      <w:r w:rsidRPr="007D5225">
        <w:rPr>
          <w:rFonts w:ascii="Arial" w:eastAsia="Times New Roman" w:hAnsi="Arial" w:cs="Arial"/>
          <w:lang w:val="es-ES_tradnl" w:eastAsia="es-ES"/>
        </w:rPr>
        <w:t xml:space="preserve">15.000 </w:t>
      </w:r>
      <w:r w:rsidRPr="0055293B">
        <w:rPr>
          <w:rFonts w:ascii="Arial" w:eastAsia="Times New Roman" w:hAnsi="Arial" w:cs="Arial"/>
          <w:lang w:val="es-ES_tradnl" w:eastAsia="es-ES"/>
        </w:rPr>
        <w:t>$</w:t>
      </w:r>
      <w:r w:rsidRPr="007D5225">
        <w:rPr>
          <w:rFonts w:ascii="Arial" w:eastAsia="Times New Roman" w:hAnsi="Arial" w:cs="Arial"/>
          <w:lang w:val="es-ES_tradnl" w:eastAsia="es-ES"/>
        </w:rPr>
        <w:t>/casa</w:t>
      </w:r>
      <w:r w:rsidRPr="0055293B">
        <w:rPr>
          <w:rFonts w:ascii="Arial" w:eastAsia="Times New Roman" w:hAnsi="Arial" w:cs="Arial"/>
          <w:lang w:val="es-ES_tradnl" w:eastAsia="es-ES"/>
        </w:rPr>
        <w:t>. El contrato obliga a entregar las casas dentro de los nueve meses de firmado el contrato. Otra información relevante se resume en la siguiente tabla: </w:t>
      </w:r>
    </w:p>
    <w:tbl>
      <w:tblPr>
        <w:tblW w:w="0" w:type="auto"/>
        <w:tblCellMar>
          <w:left w:w="0" w:type="dxa"/>
          <w:right w:w="0" w:type="dxa"/>
        </w:tblCellMar>
        <w:tblLook w:val="04A0"/>
      </w:tblPr>
      <w:tblGrid>
        <w:gridCol w:w="406"/>
        <w:gridCol w:w="1316"/>
        <w:gridCol w:w="935"/>
        <w:gridCol w:w="178"/>
        <w:gridCol w:w="1659"/>
        <w:gridCol w:w="1371"/>
        <w:gridCol w:w="2779"/>
      </w:tblGrid>
      <w:tr w:rsidR="0055293B" w:rsidRPr="0055293B">
        <w:trPr>
          <w:trHeight w:val="345"/>
        </w:trPr>
        <w:tc>
          <w:tcPr>
            <w:tcW w:w="921"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c>
          <w:tcPr>
            <w:tcW w:w="2958" w:type="dxa"/>
            <w:gridSpan w:val="2"/>
            <w:tcBorders>
              <w:top w:val="single" w:sz="12" w:space="0" w:color="auto"/>
              <w:left w:val="single" w:sz="12" w:space="0" w:color="auto"/>
              <w:bottom w:val="nil"/>
              <w:right w:val="nil"/>
            </w:tcBorders>
            <w:shd w:val="clear" w:color="auto" w:fill="CCFF33"/>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Recurso por tipo de casa</w:t>
            </w:r>
            <w:r w:rsidR="007D5225">
              <w:rPr>
                <w:rFonts w:ascii="Arial" w:eastAsia="Times New Roman" w:hAnsi="Arial" w:cs="Arial"/>
                <w:b/>
                <w:bCs/>
                <w:sz w:val="20"/>
                <w:szCs w:val="20"/>
                <w:lang w:val="es-ES_tradnl" w:eastAsia="es-ES"/>
              </w:rPr>
              <w:t xml:space="preserve"> </w:t>
            </w:r>
            <w:r w:rsidRPr="007D5225">
              <w:rPr>
                <w:rFonts w:ascii="Arial" w:eastAsia="Times New Roman" w:hAnsi="Arial" w:cs="Arial"/>
                <w:b/>
                <w:bCs/>
                <w:sz w:val="20"/>
                <w:szCs w:val="20"/>
                <w:lang w:val="es-ES_tradnl" w:eastAsia="es-ES"/>
              </w:rPr>
              <w:t>(horas/casa)</w:t>
            </w:r>
          </w:p>
        </w:tc>
        <w:tc>
          <w:tcPr>
            <w:tcW w:w="160" w:type="dxa"/>
            <w:tcBorders>
              <w:top w:val="single" w:sz="12" w:space="0" w:color="auto"/>
              <w:left w:val="nil"/>
              <w:bottom w:val="nil"/>
              <w:right w:val="single" w:sz="8" w:space="0" w:color="auto"/>
            </w:tcBorders>
            <w:shd w:val="clear" w:color="auto" w:fill="CCFF33"/>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p>
        </w:tc>
        <w:tc>
          <w:tcPr>
            <w:tcW w:w="1701" w:type="dxa"/>
            <w:tcBorders>
              <w:top w:val="single" w:sz="12" w:space="0" w:color="auto"/>
              <w:left w:val="nil"/>
              <w:bottom w:val="nil"/>
              <w:right w:val="single" w:sz="12" w:space="0" w:color="auto"/>
            </w:tcBorders>
            <w:shd w:val="clear" w:color="auto" w:fill="FFCC99"/>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Disponibilidad</w:t>
            </w:r>
          </w:p>
        </w:tc>
        <w:tc>
          <w:tcPr>
            <w:tcW w:w="1701"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c>
          <w:tcPr>
            <w:tcW w:w="1985"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r>
      <w:tr w:rsidR="0055293B" w:rsidRPr="0055293B">
        <w:trPr>
          <w:trHeight w:val="285"/>
        </w:trPr>
        <w:tc>
          <w:tcPr>
            <w:tcW w:w="921"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c>
          <w:tcPr>
            <w:tcW w:w="1559" w:type="dxa"/>
            <w:tcBorders>
              <w:top w:val="single" w:sz="12" w:space="0" w:color="auto"/>
              <w:left w:val="single" w:sz="12" w:space="0" w:color="auto"/>
              <w:bottom w:val="single" w:sz="8" w:space="0" w:color="auto"/>
              <w:right w:val="nil"/>
            </w:tcBorders>
            <w:shd w:val="clear" w:color="auto" w:fill="FFCCFF"/>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Campo</w:t>
            </w:r>
          </w:p>
        </w:tc>
        <w:tc>
          <w:tcPr>
            <w:tcW w:w="1559" w:type="dxa"/>
            <w:gridSpan w:val="2"/>
            <w:tcBorders>
              <w:top w:val="single" w:sz="12" w:space="0" w:color="auto"/>
              <w:left w:val="single" w:sz="8" w:space="0" w:color="auto"/>
              <w:bottom w:val="single" w:sz="8" w:space="0" w:color="auto"/>
              <w:right w:val="single" w:sz="12" w:space="0" w:color="auto"/>
            </w:tcBorders>
            <w:shd w:val="clear" w:color="auto" w:fill="FFCCFF"/>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Rancho</w:t>
            </w:r>
          </w:p>
        </w:tc>
        <w:tc>
          <w:tcPr>
            <w:tcW w:w="1701" w:type="dxa"/>
            <w:tcBorders>
              <w:top w:val="nil"/>
              <w:left w:val="nil"/>
              <w:bottom w:val="single" w:sz="12" w:space="0" w:color="auto"/>
              <w:right w:val="single" w:sz="12" w:space="0" w:color="auto"/>
            </w:tcBorders>
            <w:shd w:val="clear" w:color="auto" w:fill="FFCC99"/>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de horas</w:t>
            </w:r>
          </w:p>
        </w:tc>
        <w:tc>
          <w:tcPr>
            <w:tcW w:w="1701"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c>
          <w:tcPr>
            <w:tcW w:w="1985"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r>
      <w:tr w:rsidR="0055293B" w:rsidRPr="0055293B">
        <w:trPr>
          <w:trHeight w:val="255"/>
        </w:trPr>
        <w:tc>
          <w:tcPr>
            <w:tcW w:w="921"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c>
          <w:tcPr>
            <w:tcW w:w="1559" w:type="dxa"/>
            <w:tcBorders>
              <w:top w:val="nil"/>
              <w:left w:val="single" w:sz="12" w:space="0" w:color="auto"/>
              <w:bottom w:val="nil"/>
              <w:right w:val="nil"/>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200</w:t>
            </w:r>
          </w:p>
        </w:tc>
        <w:tc>
          <w:tcPr>
            <w:tcW w:w="1559" w:type="dxa"/>
            <w:gridSpan w:val="2"/>
            <w:tcBorders>
              <w:top w:val="nil"/>
              <w:left w:val="single" w:sz="8" w:space="0" w:color="auto"/>
              <w:bottom w:val="nil"/>
              <w:right w:val="single" w:sz="8" w:space="0" w:color="auto"/>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100</w:t>
            </w:r>
          </w:p>
        </w:tc>
        <w:tc>
          <w:tcPr>
            <w:tcW w:w="1701" w:type="dxa"/>
            <w:tcBorders>
              <w:top w:val="nil"/>
              <w:left w:val="nil"/>
              <w:bottom w:val="nil"/>
              <w:right w:val="single" w:sz="8" w:space="0" w:color="auto"/>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12</w:t>
            </w:r>
            <w:r w:rsidRPr="007D5225">
              <w:rPr>
                <w:rFonts w:ascii="Arial" w:eastAsia="Times New Roman" w:hAnsi="Arial" w:cs="Arial"/>
                <w:b/>
                <w:bCs/>
                <w:sz w:val="20"/>
                <w:szCs w:val="20"/>
                <w:lang w:val="es-ES_tradnl" w:eastAsia="es-ES"/>
              </w:rPr>
              <w:t>.</w:t>
            </w:r>
            <w:r w:rsidRPr="0055293B">
              <w:rPr>
                <w:rFonts w:ascii="Arial" w:eastAsia="Times New Roman" w:hAnsi="Arial" w:cs="Arial"/>
                <w:b/>
                <w:bCs/>
                <w:sz w:val="20"/>
                <w:szCs w:val="20"/>
                <w:lang w:val="es-ES_tradnl" w:eastAsia="es-ES"/>
              </w:rPr>
              <w:t>000</w:t>
            </w:r>
          </w:p>
        </w:tc>
        <w:tc>
          <w:tcPr>
            <w:tcW w:w="1701" w:type="dxa"/>
            <w:tcBorders>
              <w:top w:val="single" w:sz="12" w:space="0" w:color="auto"/>
              <w:left w:val="nil"/>
              <w:bottom w:val="nil"/>
              <w:right w:val="single" w:sz="12" w:space="0" w:color="auto"/>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b/>
                <w:bCs/>
                <w:color w:val="0000FF"/>
                <w:sz w:val="20"/>
                <w:szCs w:val="20"/>
                <w:lang w:val="es-ES_tradnl" w:eastAsia="es-ES"/>
              </w:rPr>
              <w:t>Carpintero</w:t>
            </w:r>
          </w:p>
        </w:tc>
        <w:tc>
          <w:tcPr>
            <w:tcW w:w="1985"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r>
      <w:tr w:rsidR="0055293B" w:rsidRPr="0055293B">
        <w:trPr>
          <w:trHeight w:val="285"/>
        </w:trPr>
        <w:tc>
          <w:tcPr>
            <w:tcW w:w="921"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c>
          <w:tcPr>
            <w:tcW w:w="1559" w:type="dxa"/>
            <w:tcBorders>
              <w:top w:val="nil"/>
              <w:left w:val="single" w:sz="12" w:space="0" w:color="auto"/>
              <w:bottom w:val="single" w:sz="12" w:space="0" w:color="auto"/>
              <w:right w:val="nil"/>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50</w:t>
            </w:r>
          </w:p>
        </w:tc>
        <w:tc>
          <w:tcPr>
            <w:tcW w:w="1559" w:type="dxa"/>
            <w:gridSpan w:val="2"/>
            <w:tcBorders>
              <w:top w:val="nil"/>
              <w:left w:val="single" w:sz="8" w:space="0" w:color="auto"/>
              <w:bottom w:val="single" w:sz="12" w:space="0" w:color="auto"/>
              <w:right w:val="single" w:sz="8" w:space="0" w:color="auto"/>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120</w:t>
            </w:r>
          </w:p>
        </w:tc>
        <w:tc>
          <w:tcPr>
            <w:tcW w:w="1701" w:type="dxa"/>
            <w:tcBorders>
              <w:top w:val="nil"/>
              <w:left w:val="nil"/>
              <w:bottom w:val="single" w:sz="12" w:space="0" w:color="auto"/>
              <w:right w:val="single" w:sz="8" w:space="0" w:color="auto"/>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val="es-ES_tradnl" w:eastAsia="es-ES"/>
              </w:rPr>
              <w:t>13</w:t>
            </w:r>
            <w:r w:rsidRPr="007D5225">
              <w:rPr>
                <w:rFonts w:ascii="Arial" w:eastAsia="Times New Roman" w:hAnsi="Arial" w:cs="Arial"/>
                <w:b/>
                <w:bCs/>
                <w:sz w:val="20"/>
                <w:szCs w:val="20"/>
                <w:lang w:val="es-ES_tradnl" w:eastAsia="es-ES"/>
              </w:rPr>
              <w:t>.</w:t>
            </w:r>
            <w:r w:rsidRPr="0055293B">
              <w:rPr>
                <w:rFonts w:ascii="Arial" w:eastAsia="Times New Roman" w:hAnsi="Arial" w:cs="Arial"/>
                <w:b/>
                <w:bCs/>
                <w:sz w:val="20"/>
                <w:szCs w:val="20"/>
                <w:lang w:val="es-ES_tradnl" w:eastAsia="es-ES"/>
              </w:rPr>
              <w:t>000</w:t>
            </w:r>
          </w:p>
        </w:tc>
        <w:tc>
          <w:tcPr>
            <w:tcW w:w="1701" w:type="dxa"/>
            <w:tcBorders>
              <w:top w:val="nil"/>
              <w:left w:val="nil"/>
              <w:bottom w:val="single" w:sz="12" w:space="0" w:color="auto"/>
              <w:right w:val="single" w:sz="12" w:space="0" w:color="auto"/>
            </w:tcBorders>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b/>
                <w:bCs/>
                <w:color w:val="0000FF"/>
                <w:sz w:val="20"/>
                <w:szCs w:val="20"/>
                <w:lang w:val="es-ES_tradnl" w:eastAsia="es-ES"/>
              </w:rPr>
              <w:t>Albañil</w:t>
            </w:r>
          </w:p>
        </w:tc>
        <w:tc>
          <w:tcPr>
            <w:tcW w:w="1985" w:type="dxa"/>
            <w:tcMar>
              <w:top w:w="0" w:type="dxa"/>
              <w:left w:w="70" w:type="dxa"/>
              <w:bottom w:w="0" w:type="dxa"/>
              <w:right w:w="70" w:type="dxa"/>
            </w:tcMar>
          </w:tcPr>
          <w:p w:rsidR="0055293B" w:rsidRPr="0055293B" w:rsidRDefault="0055293B" w:rsidP="007D5225">
            <w:pPr>
              <w:spacing w:before="100" w:beforeAutospacing="1" w:after="100" w:afterAutospacing="1"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val="es-ES_tradnl" w:eastAsia="es-ES"/>
              </w:rPr>
              <w:t> </w:t>
            </w:r>
          </w:p>
        </w:tc>
      </w:tr>
      <w:tr w:rsidR="0055293B" w:rsidRPr="0055293B">
        <w:trPr>
          <w:trHeight w:val="300"/>
        </w:trPr>
        <w:tc>
          <w:tcPr>
            <w:tcW w:w="1065"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w:t>
            </w:r>
          </w:p>
        </w:tc>
        <w:tc>
          <w:tcPr>
            <w:tcW w:w="1860"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w:t>
            </w:r>
          </w:p>
        </w:tc>
        <w:tc>
          <w:tcPr>
            <w:tcW w:w="1665"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w:t>
            </w:r>
          </w:p>
        </w:tc>
        <w:tc>
          <w:tcPr>
            <w:tcW w:w="195"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w:t>
            </w:r>
          </w:p>
        </w:tc>
        <w:tc>
          <w:tcPr>
            <w:tcW w:w="2100"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w:t>
            </w:r>
          </w:p>
        </w:tc>
        <w:tc>
          <w:tcPr>
            <w:tcW w:w="2055"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w:t>
            </w:r>
          </w:p>
        </w:tc>
        <w:tc>
          <w:tcPr>
            <w:tcW w:w="2280" w:type="dxa"/>
            <w:tcBorders>
              <w:top w:val="nil"/>
              <w:left w:val="nil"/>
              <w:bottom w:val="nil"/>
              <w:right w:val="nil"/>
            </w:tcBorders>
            <w:vAlign w:val="cente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sz w:val="20"/>
                <w:szCs w:val="20"/>
                <w:lang w:eastAsia="es-ES"/>
              </w:rPr>
              <w:t xml:space="preserve">                                                   </w:t>
            </w:r>
          </w:p>
        </w:tc>
      </w:tr>
    </w:tbl>
    <w:p w:rsidR="0055293B" w:rsidRPr="007D5225" w:rsidRDefault="0055293B" w:rsidP="007D5225">
      <w:pPr>
        <w:pStyle w:val="Prrafodelista"/>
        <w:numPr>
          <w:ilvl w:val="0"/>
          <w:numId w:val="11"/>
        </w:num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val="es-ES_tradnl" w:eastAsia="es-ES"/>
        </w:rPr>
        <w:t>Formule el problema de programación lineal.</w:t>
      </w:r>
    </w:p>
    <w:p w:rsidR="0055293B" w:rsidRPr="00BE2BA5" w:rsidRDefault="0055293B" w:rsidP="007D5225">
      <w:pPr>
        <w:pStyle w:val="Prrafodelista"/>
        <w:numPr>
          <w:ilvl w:val="0"/>
          <w:numId w:val="11"/>
        </w:num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val="es-ES_tradnl" w:eastAsia="es-ES"/>
        </w:rPr>
        <w:t>Encuentre la solución óptima gráficamente.</w:t>
      </w:r>
    </w:p>
    <w:p w:rsidR="00BE2BA5" w:rsidRPr="007D5225" w:rsidRDefault="00BE2BA5" w:rsidP="007D5225">
      <w:pPr>
        <w:pStyle w:val="Prrafodelista"/>
        <w:numPr>
          <w:ilvl w:val="0"/>
          <w:numId w:val="11"/>
        </w:numPr>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lang w:val="es-ES_tradnl" w:eastAsia="es-ES"/>
        </w:rPr>
        <w:t>Si el número de horas disponibles en carpinteros aumenta a 15.000 horas.       ¿</w:t>
      </w:r>
      <w:r w:rsidR="00871A00">
        <w:rPr>
          <w:rFonts w:ascii="Arial" w:eastAsia="Times New Roman" w:hAnsi="Arial" w:cs="Arial"/>
          <w:lang w:val="es-ES_tradnl" w:eastAsia="es-ES"/>
        </w:rPr>
        <w:t>Sería beneficioso</w:t>
      </w:r>
      <w:r>
        <w:rPr>
          <w:rFonts w:ascii="Arial" w:eastAsia="Times New Roman" w:hAnsi="Arial" w:cs="Arial"/>
          <w:lang w:val="es-ES_tradnl" w:eastAsia="es-ES"/>
        </w:rPr>
        <w:t>?</w:t>
      </w:r>
      <w:r w:rsidR="000024F8">
        <w:rPr>
          <w:rFonts w:ascii="Arial" w:eastAsia="Times New Roman" w:hAnsi="Arial" w:cs="Arial"/>
          <w:lang w:val="es-ES_tradnl" w:eastAsia="es-ES"/>
        </w:rPr>
        <w:t xml:space="preserve"> Demuestre interpretando su precio sombra.</w:t>
      </w:r>
    </w:p>
    <w:p w:rsidR="0055293B" w:rsidRPr="007D5225" w:rsidRDefault="0055293B" w:rsidP="007D5225">
      <w:pPr>
        <w:pStyle w:val="Prrafodelista"/>
        <w:numPr>
          <w:ilvl w:val="0"/>
          <w:numId w:val="11"/>
        </w:num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val="es-ES_tradnl" w:eastAsia="es-ES"/>
        </w:rPr>
        <w:t>Suponga que se desea agregar un nuevo tipo de casa denominada “</w:t>
      </w:r>
      <w:r w:rsidRPr="007D5225">
        <w:rPr>
          <w:rFonts w:ascii="Arial" w:eastAsia="Times New Roman" w:hAnsi="Arial" w:cs="Arial"/>
          <w:lang w:eastAsia="es-ES"/>
        </w:rPr>
        <w:t>Colonial</w:t>
      </w:r>
      <w:r w:rsidRPr="007D5225">
        <w:rPr>
          <w:rFonts w:ascii="Arial" w:eastAsia="Times New Roman" w:hAnsi="Arial" w:cs="Arial"/>
          <w:lang w:val="es-ES_tradnl" w:eastAsia="es-ES"/>
        </w:rPr>
        <w:t>” que da un margen de utilidad de 14.900 $/casa y que requiere de 150 horas-carpintero/casa y 80 horas-albañil/casa. Demuestre si conviene o no fabricar las ca</w:t>
      </w:r>
      <w:r w:rsidR="000024F8">
        <w:rPr>
          <w:rFonts w:ascii="Arial" w:eastAsia="Times New Roman" w:hAnsi="Arial" w:cs="Arial"/>
          <w:lang w:val="es-ES_tradnl" w:eastAsia="es-ES"/>
        </w:rPr>
        <w:t>sas aplicando el Método Simples e interprete todos sus resultados.</w:t>
      </w:r>
    </w:p>
    <w:p w:rsidR="0055293B" w:rsidRPr="0055293B" w:rsidRDefault="007D5225" w:rsidP="007D5225">
      <w:pPr>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lang w:eastAsia="es-ES"/>
        </w:rPr>
        <w:lastRenderedPageBreak/>
        <w:t xml:space="preserve">3. </w:t>
      </w:r>
      <w:r w:rsidR="0055293B" w:rsidRPr="0055293B">
        <w:rPr>
          <w:rFonts w:ascii="Arial" w:eastAsia="Times New Roman" w:hAnsi="Arial" w:cs="Arial"/>
          <w:lang w:eastAsia="es-ES"/>
        </w:rPr>
        <w:t xml:space="preserve">El grupo ANTAR, S.A. está analizando la posibilidad de diversificar sus inversiones, hacia sectores diferentes de donde se encuentra operando actualmente. El presupuesto disponible para inversiones de esta </w:t>
      </w:r>
      <w:r w:rsidR="0055293B" w:rsidRPr="007D5225">
        <w:rPr>
          <w:rFonts w:ascii="Arial" w:eastAsia="Times New Roman" w:hAnsi="Arial" w:cs="Arial"/>
          <w:lang w:eastAsia="es-ES"/>
        </w:rPr>
        <w:t>naturaleza se ha fijado en $100.</w:t>
      </w:r>
      <w:r w:rsidR="0055293B" w:rsidRPr="0055293B">
        <w:rPr>
          <w:rFonts w:ascii="Arial" w:eastAsia="Times New Roman" w:hAnsi="Arial" w:cs="Arial"/>
          <w:lang w:eastAsia="es-ES"/>
        </w:rPr>
        <w:t>000</w:t>
      </w:r>
      <w:r w:rsidR="0055293B" w:rsidRPr="007D5225">
        <w:rPr>
          <w:rFonts w:ascii="Arial" w:eastAsia="Times New Roman" w:hAnsi="Arial" w:cs="Arial"/>
          <w:lang w:eastAsia="es-ES"/>
        </w:rPr>
        <w:t>.</w:t>
      </w:r>
      <w:r w:rsidR="0055293B" w:rsidRPr="0055293B">
        <w:rPr>
          <w:rFonts w:ascii="Arial" w:eastAsia="Times New Roman" w:hAnsi="Arial" w:cs="Arial"/>
          <w:lang w:eastAsia="es-ES"/>
        </w:rPr>
        <w:t xml:space="preserve">000. Tomando en cuenta las áreas de inversión actuales, el director de finanzas ha recomendado que las nuevas inversiones sean en </w:t>
      </w:r>
      <w:smartTag w:uri="urn:schemas-microsoft-com:office:smarttags" w:element="PersonName">
        <w:smartTagPr>
          <w:attr w:name="ProductID" w:val="la INDUSTRIA PETROLERA"/>
        </w:smartTagPr>
        <w:r w:rsidR="0055293B" w:rsidRPr="0055293B">
          <w:rPr>
            <w:rFonts w:ascii="Arial" w:eastAsia="Times New Roman" w:hAnsi="Arial" w:cs="Arial"/>
            <w:lang w:eastAsia="es-ES"/>
          </w:rPr>
          <w:t>la INDUSTRIA PETROLERA</w:t>
        </w:r>
      </w:smartTag>
      <w:r w:rsidR="0055293B" w:rsidRPr="0055293B">
        <w:rPr>
          <w:rFonts w:ascii="Arial" w:eastAsia="Times New Roman" w:hAnsi="Arial" w:cs="Arial"/>
          <w:lang w:eastAsia="es-ES"/>
        </w:rPr>
        <w:t xml:space="preserve">, </w:t>
      </w:r>
      <w:smartTag w:uri="urn:schemas-microsoft-com:office:smarttags" w:element="PersonName">
        <w:smartTagPr>
          <w:attr w:name="ProductID" w:val="LA INDUSTRIA SIDERￚRGICA"/>
        </w:smartTagPr>
        <w:r w:rsidR="0055293B" w:rsidRPr="0055293B">
          <w:rPr>
            <w:rFonts w:ascii="Arial" w:eastAsia="Times New Roman" w:hAnsi="Arial" w:cs="Arial"/>
            <w:lang w:eastAsia="es-ES"/>
          </w:rPr>
          <w:t>LA INDUSTRIA SIDERÚRGICA</w:t>
        </w:r>
      </w:smartTag>
      <w:r w:rsidR="0055293B" w:rsidRPr="0055293B">
        <w:rPr>
          <w:rFonts w:ascii="Arial" w:eastAsia="Times New Roman" w:hAnsi="Arial" w:cs="Arial"/>
          <w:lang w:eastAsia="es-ES"/>
        </w:rPr>
        <w:t xml:space="preserve"> Y EN CETES. Específicamente, el director ha identificado siete oportunidades de inversión, así como las tasas de rendimiento esperadas de las mismas. Dicha información se da a continuación.</w:t>
      </w:r>
    </w:p>
    <w:tbl>
      <w:tblPr>
        <w:tblW w:w="6544" w:type="dxa"/>
        <w:jc w:val="center"/>
        <w:tblCellMar>
          <w:left w:w="0" w:type="dxa"/>
          <w:right w:w="0" w:type="dxa"/>
        </w:tblCellMar>
        <w:tblLook w:val="04A0"/>
      </w:tblPr>
      <w:tblGrid>
        <w:gridCol w:w="3561"/>
        <w:gridCol w:w="2983"/>
      </w:tblGrid>
      <w:tr w:rsidR="0055293B" w:rsidRPr="0055293B">
        <w:trPr>
          <w:trHeight w:val="359"/>
          <w:jc w:val="center"/>
        </w:trPr>
        <w:tc>
          <w:tcPr>
            <w:tcW w:w="3561" w:type="dxa"/>
            <w:tcBorders>
              <w:top w:val="single" w:sz="8" w:space="0" w:color="auto"/>
              <w:left w:val="single" w:sz="8" w:space="0" w:color="auto"/>
              <w:bottom w:val="single" w:sz="8" w:space="0" w:color="auto"/>
              <w:right w:val="nil"/>
            </w:tcBorders>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OPCIONES DE INVERSIÓN</w:t>
            </w:r>
          </w:p>
        </w:tc>
        <w:tc>
          <w:tcPr>
            <w:tcW w:w="2983" w:type="dxa"/>
            <w:tcBorders>
              <w:top w:val="single" w:sz="8" w:space="0" w:color="auto"/>
              <w:left w:val="single" w:sz="8" w:space="0" w:color="auto"/>
              <w:bottom w:val="single" w:sz="8" w:space="0" w:color="auto"/>
              <w:right w:val="single" w:sz="8" w:space="0" w:color="auto"/>
            </w:tcBorders>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sz w:val="20"/>
                <w:szCs w:val="20"/>
                <w:lang w:eastAsia="es-ES"/>
              </w:rPr>
              <w:t>TASA DE RENDIMIENTO (%)</w:t>
            </w:r>
          </w:p>
        </w:tc>
      </w:tr>
      <w:tr w:rsidR="0055293B" w:rsidRPr="0055293B">
        <w:trPr>
          <w:trHeight w:val="372"/>
          <w:jc w:val="center"/>
        </w:trPr>
        <w:tc>
          <w:tcPr>
            <w:tcW w:w="3561" w:type="dxa"/>
            <w:tcBorders>
              <w:top w:val="nil"/>
              <w:left w:val="double" w:sz="6" w:space="0" w:color="auto"/>
              <w:bottom w:val="single" w:sz="8" w:space="0" w:color="auto"/>
              <w:right w:val="single" w:sz="8" w:space="0" w:color="auto"/>
            </w:tcBorders>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Petróleo y Derivados, S.A.</w:t>
            </w:r>
          </w:p>
        </w:tc>
        <w:tc>
          <w:tcPr>
            <w:tcW w:w="2983" w:type="dxa"/>
            <w:tcBorders>
              <w:top w:val="nil"/>
              <w:left w:val="nil"/>
              <w:bottom w:val="single" w:sz="8" w:space="0" w:color="auto"/>
              <w:right w:val="double" w:sz="6" w:space="0" w:color="auto"/>
            </w:tcBorders>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50</w:t>
            </w:r>
          </w:p>
        </w:tc>
      </w:tr>
      <w:tr w:rsidR="0055293B" w:rsidRPr="0055293B">
        <w:trPr>
          <w:trHeight w:val="348"/>
          <w:jc w:val="center"/>
        </w:trPr>
        <w:tc>
          <w:tcPr>
            <w:tcW w:w="3561" w:type="dxa"/>
            <w:tcBorders>
              <w:top w:val="nil"/>
              <w:left w:val="double" w:sz="6" w:space="0" w:color="auto"/>
              <w:bottom w:val="nil"/>
              <w:right w:val="single" w:sz="8" w:space="0" w:color="auto"/>
            </w:tcBorders>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Industria Petrolera, S.A.</w:t>
            </w:r>
          </w:p>
        </w:tc>
        <w:tc>
          <w:tcPr>
            <w:tcW w:w="2983" w:type="dxa"/>
            <w:tcBorders>
              <w:top w:val="nil"/>
              <w:left w:val="nil"/>
              <w:bottom w:val="nil"/>
              <w:right w:val="double" w:sz="6" w:space="0" w:color="auto"/>
            </w:tcBorders>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75</w:t>
            </w:r>
          </w:p>
        </w:tc>
      </w:tr>
      <w:tr w:rsidR="0055293B" w:rsidRPr="0055293B">
        <w:trPr>
          <w:trHeight w:val="348"/>
          <w:jc w:val="center"/>
        </w:trPr>
        <w:tc>
          <w:tcPr>
            <w:tcW w:w="3561" w:type="dxa"/>
            <w:tcBorders>
              <w:top w:val="single" w:sz="8" w:space="0" w:color="auto"/>
              <w:left w:val="double" w:sz="6" w:space="0" w:color="auto"/>
              <w:bottom w:val="nil"/>
              <w:right w:val="nil"/>
            </w:tcBorders>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Petróleos del Norte, S.A.</w:t>
            </w:r>
          </w:p>
        </w:tc>
        <w:tc>
          <w:tcPr>
            <w:tcW w:w="2983" w:type="dxa"/>
            <w:tcBorders>
              <w:top w:val="single" w:sz="8" w:space="0" w:color="auto"/>
              <w:left w:val="single" w:sz="8" w:space="0" w:color="auto"/>
              <w:bottom w:val="single" w:sz="8" w:space="0" w:color="auto"/>
              <w:right w:val="double" w:sz="6" w:space="0" w:color="auto"/>
            </w:tcBorders>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40</w:t>
            </w:r>
          </w:p>
        </w:tc>
      </w:tr>
      <w:tr w:rsidR="0055293B" w:rsidRPr="0055293B">
        <w:trPr>
          <w:trHeight w:val="312"/>
          <w:jc w:val="center"/>
        </w:trPr>
        <w:tc>
          <w:tcPr>
            <w:tcW w:w="3561" w:type="dxa"/>
            <w:tcBorders>
              <w:top w:val="single" w:sz="8" w:space="0" w:color="auto"/>
              <w:left w:val="double" w:sz="6" w:space="0" w:color="auto"/>
              <w:bottom w:val="single" w:sz="8" w:space="0" w:color="auto"/>
              <w:right w:val="nil"/>
            </w:tcBorders>
            <w:shd w:val="clear" w:color="auto" w:fill="FFFFCC"/>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Aceros Monclova, S.A.</w:t>
            </w:r>
          </w:p>
        </w:tc>
        <w:tc>
          <w:tcPr>
            <w:tcW w:w="2983" w:type="dxa"/>
            <w:tcBorders>
              <w:top w:val="nil"/>
              <w:left w:val="single" w:sz="8" w:space="0" w:color="auto"/>
              <w:bottom w:val="single" w:sz="8" w:space="0" w:color="auto"/>
              <w:right w:val="double" w:sz="6" w:space="0" w:color="auto"/>
            </w:tcBorders>
            <w:shd w:val="clear" w:color="auto" w:fill="FFFFCC"/>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70</w:t>
            </w:r>
          </w:p>
        </w:tc>
      </w:tr>
      <w:tr w:rsidR="0055293B" w:rsidRPr="0055293B">
        <w:trPr>
          <w:trHeight w:val="396"/>
          <w:jc w:val="center"/>
        </w:trPr>
        <w:tc>
          <w:tcPr>
            <w:tcW w:w="3561" w:type="dxa"/>
            <w:tcBorders>
              <w:top w:val="nil"/>
              <w:left w:val="double" w:sz="6" w:space="0" w:color="auto"/>
              <w:bottom w:val="single" w:sz="8" w:space="0" w:color="auto"/>
              <w:right w:val="single" w:sz="8" w:space="0" w:color="auto"/>
            </w:tcBorders>
            <w:shd w:val="clear" w:color="auto" w:fill="FFFFCC"/>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Siderúrgica Nacional, S.A.</w:t>
            </w:r>
          </w:p>
        </w:tc>
        <w:tc>
          <w:tcPr>
            <w:tcW w:w="2983" w:type="dxa"/>
            <w:tcBorders>
              <w:top w:val="nil"/>
              <w:left w:val="nil"/>
              <w:bottom w:val="single" w:sz="8" w:space="0" w:color="auto"/>
              <w:right w:val="double" w:sz="6" w:space="0" w:color="auto"/>
            </w:tcBorders>
            <w:shd w:val="clear" w:color="auto" w:fill="FFFFCC"/>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4</w:t>
            </w:r>
            <w:r w:rsidR="00BE2BA5">
              <w:rPr>
                <w:rFonts w:ascii="Arial" w:eastAsia="Times New Roman" w:hAnsi="Arial" w:cs="Arial"/>
                <w:b/>
                <w:bCs/>
                <w:i/>
                <w:iCs/>
                <w:sz w:val="20"/>
                <w:szCs w:val="20"/>
                <w:lang w:eastAsia="es-ES"/>
              </w:rPr>
              <w:t>1</w:t>
            </w:r>
          </w:p>
        </w:tc>
      </w:tr>
      <w:tr w:rsidR="0055293B" w:rsidRPr="0055293B">
        <w:trPr>
          <w:trHeight w:val="360"/>
          <w:jc w:val="center"/>
        </w:trPr>
        <w:tc>
          <w:tcPr>
            <w:tcW w:w="3561" w:type="dxa"/>
            <w:tcBorders>
              <w:top w:val="nil"/>
              <w:left w:val="double" w:sz="6" w:space="0" w:color="auto"/>
              <w:bottom w:val="single" w:sz="12" w:space="0" w:color="auto"/>
              <w:right w:val="single" w:sz="8" w:space="0" w:color="auto"/>
            </w:tcBorders>
            <w:shd w:val="clear" w:color="auto" w:fill="FFFFCC"/>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sz w:val="20"/>
                <w:szCs w:val="20"/>
                <w:lang w:eastAsia="es-ES"/>
              </w:rPr>
            </w:pPr>
            <w:r w:rsidRPr="0055293B">
              <w:rPr>
                <w:rFonts w:ascii="Arial" w:eastAsia="Times New Roman" w:hAnsi="Arial" w:cs="Arial"/>
                <w:b/>
                <w:bCs/>
                <w:sz w:val="20"/>
                <w:szCs w:val="20"/>
                <w:lang w:eastAsia="es-ES"/>
              </w:rPr>
              <w:t>Hierro y Acero, S.A.</w:t>
            </w:r>
          </w:p>
        </w:tc>
        <w:tc>
          <w:tcPr>
            <w:tcW w:w="2983" w:type="dxa"/>
            <w:tcBorders>
              <w:top w:val="nil"/>
              <w:left w:val="nil"/>
              <w:bottom w:val="nil"/>
              <w:right w:val="double" w:sz="6" w:space="0" w:color="auto"/>
            </w:tcBorders>
            <w:shd w:val="clear" w:color="auto" w:fill="FFFFCC"/>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55</w:t>
            </w:r>
          </w:p>
        </w:tc>
      </w:tr>
      <w:tr w:rsidR="0055293B" w:rsidRPr="0055293B">
        <w:trPr>
          <w:trHeight w:val="336"/>
          <w:jc w:val="center"/>
        </w:trPr>
        <w:tc>
          <w:tcPr>
            <w:tcW w:w="3561" w:type="dxa"/>
            <w:tcBorders>
              <w:top w:val="nil"/>
              <w:left w:val="double" w:sz="6" w:space="0" w:color="auto"/>
              <w:bottom w:val="double" w:sz="6" w:space="0" w:color="auto"/>
              <w:right w:val="nil"/>
            </w:tcBorders>
            <w:shd w:val="clear" w:color="auto" w:fill="FFCC99"/>
            <w:tcMar>
              <w:top w:w="17" w:type="dxa"/>
              <w:left w:w="17" w:type="dxa"/>
              <w:bottom w:w="0" w:type="dxa"/>
              <w:right w:w="17" w:type="dxa"/>
            </w:tcMar>
          </w:tcPr>
          <w:p w:rsidR="0055293B" w:rsidRPr="0055293B" w:rsidRDefault="0055293B" w:rsidP="007D5225">
            <w:pPr>
              <w:spacing w:after="0" w:line="240" w:lineRule="auto"/>
              <w:jc w:val="both"/>
              <w:rPr>
                <w:rFonts w:ascii="Arial" w:eastAsia="Times New Roman" w:hAnsi="Arial" w:cs="Arial"/>
                <w:b/>
                <w:bCs/>
                <w:sz w:val="20"/>
                <w:szCs w:val="20"/>
                <w:lang w:eastAsia="es-ES"/>
              </w:rPr>
            </w:pPr>
            <w:r w:rsidRPr="0055293B">
              <w:rPr>
                <w:rFonts w:ascii="Arial" w:eastAsia="Times New Roman" w:hAnsi="Arial" w:cs="Arial"/>
                <w:b/>
                <w:bCs/>
                <w:sz w:val="20"/>
                <w:szCs w:val="20"/>
                <w:lang w:eastAsia="es-ES"/>
              </w:rPr>
              <w:t>CETES</w:t>
            </w:r>
          </w:p>
        </w:tc>
        <w:tc>
          <w:tcPr>
            <w:tcW w:w="2983" w:type="dxa"/>
            <w:tcBorders>
              <w:top w:val="single" w:sz="12" w:space="0" w:color="auto"/>
              <w:left w:val="single" w:sz="8" w:space="0" w:color="auto"/>
              <w:bottom w:val="double" w:sz="6" w:space="0" w:color="auto"/>
              <w:right w:val="double" w:sz="6" w:space="0" w:color="auto"/>
            </w:tcBorders>
            <w:shd w:val="clear" w:color="auto" w:fill="FFCC99"/>
            <w:tcMar>
              <w:top w:w="17" w:type="dxa"/>
              <w:left w:w="17" w:type="dxa"/>
              <w:bottom w:w="0" w:type="dxa"/>
              <w:right w:w="17" w:type="dxa"/>
            </w:tcMar>
          </w:tcPr>
          <w:p w:rsidR="0055293B" w:rsidRPr="0055293B" w:rsidRDefault="0055293B" w:rsidP="007D5225">
            <w:pPr>
              <w:spacing w:after="0" w:line="240" w:lineRule="auto"/>
              <w:jc w:val="center"/>
              <w:rPr>
                <w:rFonts w:ascii="Arial" w:eastAsia="Times New Roman" w:hAnsi="Arial" w:cs="Arial"/>
                <w:sz w:val="20"/>
                <w:szCs w:val="20"/>
                <w:lang w:eastAsia="es-ES"/>
              </w:rPr>
            </w:pPr>
            <w:r w:rsidRPr="0055293B">
              <w:rPr>
                <w:rFonts w:ascii="Arial" w:eastAsia="Times New Roman" w:hAnsi="Arial" w:cs="Arial"/>
                <w:b/>
                <w:bCs/>
                <w:i/>
                <w:iCs/>
                <w:sz w:val="20"/>
                <w:szCs w:val="20"/>
                <w:lang w:eastAsia="es-ES"/>
              </w:rPr>
              <w:t>60</w:t>
            </w:r>
          </w:p>
        </w:tc>
      </w:tr>
    </w:tbl>
    <w:p w:rsidR="0055293B" w:rsidRPr="0055293B" w:rsidRDefault="0055293B" w:rsidP="007D5225">
      <w:pPr>
        <w:spacing w:before="100" w:beforeAutospacing="1" w:after="100" w:afterAutospacing="1" w:line="240" w:lineRule="auto"/>
        <w:jc w:val="both"/>
        <w:rPr>
          <w:rFonts w:ascii="Arial" w:eastAsia="Times New Roman" w:hAnsi="Arial" w:cs="Arial"/>
          <w:lang w:eastAsia="es-ES"/>
        </w:rPr>
      </w:pPr>
      <w:r w:rsidRPr="0055293B">
        <w:rPr>
          <w:rFonts w:ascii="Arial" w:eastAsia="Times New Roman" w:hAnsi="Arial" w:cs="Arial"/>
          <w:lang w:eastAsia="es-ES"/>
        </w:rPr>
        <w:t>El consejo de Administración ha impuesto, por su parte, la siguiente estrategia de inversión: </w:t>
      </w:r>
    </w:p>
    <w:p w:rsidR="0055293B" w:rsidRPr="007D5225" w:rsidRDefault="0055293B" w:rsidP="007D5225">
      <w:pPr>
        <w:pStyle w:val="Prrafodelista"/>
        <w:numPr>
          <w:ilvl w:val="0"/>
          <w:numId w:val="5"/>
        </w:num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eastAsia="es-ES"/>
        </w:rPr>
        <w:t>No se debe destinar más del 50% del total de la inversión a una industria en particular.</w:t>
      </w:r>
    </w:p>
    <w:p w:rsidR="0055293B" w:rsidRPr="007D5225" w:rsidRDefault="0055293B" w:rsidP="007D5225">
      <w:pPr>
        <w:pStyle w:val="Prrafodelista"/>
        <w:numPr>
          <w:ilvl w:val="0"/>
          <w:numId w:val="5"/>
        </w:num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eastAsia="es-ES"/>
        </w:rPr>
        <w:t>La inversión en CETES debe ser por lo menos el 25% del total invertido en siderurgia.</w:t>
      </w:r>
    </w:p>
    <w:p w:rsidR="0055293B" w:rsidRPr="007D5225" w:rsidRDefault="0055293B" w:rsidP="007D5225">
      <w:pPr>
        <w:pStyle w:val="Prrafodelista"/>
        <w:numPr>
          <w:ilvl w:val="0"/>
          <w:numId w:val="5"/>
        </w:numPr>
        <w:spacing w:before="100" w:beforeAutospacing="1" w:after="100" w:afterAutospacing="1" w:line="240" w:lineRule="auto"/>
        <w:jc w:val="both"/>
        <w:rPr>
          <w:rFonts w:ascii="Arial" w:eastAsia="Times New Roman" w:hAnsi="Arial" w:cs="Arial"/>
          <w:lang w:eastAsia="es-ES"/>
        </w:rPr>
      </w:pPr>
      <w:r w:rsidRPr="007D5225">
        <w:rPr>
          <w:rFonts w:ascii="Arial" w:eastAsia="Times New Roman" w:hAnsi="Arial" w:cs="Arial"/>
          <w:lang w:eastAsia="es-ES"/>
        </w:rPr>
        <w:t xml:space="preserve">La inversión en Industria Petrolera S. A., la cual resulta ser la de mayor rendimiento aunque también la de más alto riesgo, no puede exceder al 50% del total a </w:t>
      </w:r>
      <w:r w:rsidR="002F364B">
        <w:rPr>
          <w:rFonts w:ascii="Arial" w:eastAsia="Times New Roman" w:hAnsi="Arial" w:cs="Arial"/>
          <w:lang w:eastAsia="es-ES"/>
        </w:rPr>
        <w:t>invertir en el sector petróleo y derivados.</w:t>
      </w:r>
    </w:p>
    <w:p w:rsidR="007D5225" w:rsidRDefault="0055293B" w:rsidP="00BE2BA5">
      <w:pPr>
        <w:pStyle w:val="Prrafodelista"/>
        <w:numPr>
          <w:ilvl w:val="0"/>
          <w:numId w:val="5"/>
        </w:numPr>
        <w:spacing w:before="100" w:beforeAutospacing="1" w:after="100" w:afterAutospacing="1" w:line="240" w:lineRule="auto"/>
        <w:jc w:val="both"/>
        <w:rPr>
          <w:rFonts w:ascii="Arial" w:eastAsia="Times New Roman" w:hAnsi="Arial" w:cs="Arial"/>
          <w:lang w:eastAsia="es-ES"/>
        </w:rPr>
      </w:pPr>
      <w:r w:rsidRPr="00BE2BA5">
        <w:rPr>
          <w:rFonts w:ascii="Arial" w:eastAsia="Times New Roman" w:hAnsi="Arial" w:cs="Arial"/>
          <w:lang w:eastAsia="es-ES"/>
        </w:rPr>
        <w:t xml:space="preserve">El total a invertir </w:t>
      </w:r>
      <w:r w:rsidR="00BE2BA5" w:rsidRPr="00BE2BA5">
        <w:rPr>
          <w:rFonts w:ascii="Arial" w:eastAsia="Times New Roman" w:hAnsi="Arial" w:cs="Arial"/>
          <w:lang w:eastAsia="es-ES"/>
        </w:rPr>
        <w:t xml:space="preserve">en el sector petrolero, lo que incluye las tres primeras opciones, </w:t>
      </w:r>
      <w:r w:rsidRPr="00BE2BA5">
        <w:rPr>
          <w:rFonts w:ascii="Arial" w:eastAsia="Times New Roman" w:hAnsi="Arial" w:cs="Arial"/>
          <w:lang w:eastAsia="es-ES"/>
        </w:rPr>
        <w:t xml:space="preserve">debe ser por lo menos </w:t>
      </w:r>
      <w:r w:rsidR="002F364B" w:rsidRPr="00BE2BA5">
        <w:rPr>
          <w:rFonts w:ascii="Arial" w:eastAsia="Times New Roman" w:hAnsi="Arial" w:cs="Arial"/>
          <w:lang w:eastAsia="es-ES"/>
        </w:rPr>
        <w:t xml:space="preserve">igual al invertido en </w:t>
      </w:r>
      <w:r w:rsidR="00BE2BA5" w:rsidRPr="00BE2BA5">
        <w:rPr>
          <w:rFonts w:ascii="Arial" w:eastAsia="Times New Roman" w:hAnsi="Arial" w:cs="Arial"/>
          <w:lang w:eastAsia="es-ES"/>
        </w:rPr>
        <w:t>siderúrgica</w:t>
      </w:r>
    </w:p>
    <w:p w:rsidR="00871A00" w:rsidRDefault="00871A00" w:rsidP="00BE2BA5">
      <w:pPr>
        <w:pStyle w:val="Prrafodelista"/>
        <w:numPr>
          <w:ilvl w:val="0"/>
          <w:numId w:val="5"/>
        </w:numPr>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lang w:eastAsia="es-ES"/>
        </w:rPr>
        <w:t>La inversión en Hierro y Acero cuando mucho debe ser del 45% del monto a invertirse</w:t>
      </w:r>
    </w:p>
    <w:p w:rsidR="00871A00" w:rsidRPr="00BE2BA5" w:rsidRDefault="00871A00" w:rsidP="00BE2BA5">
      <w:pPr>
        <w:pStyle w:val="Prrafodelista"/>
        <w:numPr>
          <w:ilvl w:val="0"/>
          <w:numId w:val="5"/>
        </w:numPr>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lang w:eastAsia="es-ES"/>
        </w:rPr>
        <w:t>Es necesaria la inversión en Aceros Monclava con un equivalente a la tercera parte de la inversión en CETES.</w:t>
      </w:r>
    </w:p>
    <w:p w:rsidR="00BE2BA5" w:rsidRPr="007D5225" w:rsidRDefault="00BE2BA5" w:rsidP="00BE2BA5">
      <w:pPr>
        <w:pStyle w:val="Prrafodelista"/>
        <w:spacing w:before="100" w:beforeAutospacing="1" w:after="100" w:afterAutospacing="1" w:line="240" w:lineRule="auto"/>
        <w:ind w:left="360"/>
        <w:jc w:val="both"/>
        <w:rPr>
          <w:lang w:eastAsia="es-ES"/>
        </w:rPr>
      </w:pPr>
    </w:p>
    <w:p w:rsidR="0055293B" w:rsidRPr="007D5225" w:rsidRDefault="0055293B" w:rsidP="007D5225">
      <w:pPr>
        <w:pStyle w:val="Prrafodelista"/>
        <w:numPr>
          <w:ilvl w:val="0"/>
          <w:numId w:val="9"/>
        </w:numPr>
        <w:spacing w:after="0" w:line="240" w:lineRule="auto"/>
        <w:jc w:val="both"/>
        <w:rPr>
          <w:rFonts w:ascii="Arial" w:eastAsia="Times New Roman" w:hAnsi="Arial" w:cs="Arial"/>
          <w:lang w:eastAsia="es-ES"/>
        </w:rPr>
      </w:pPr>
      <w:r w:rsidRPr="007D5225">
        <w:rPr>
          <w:rFonts w:ascii="Arial" w:eastAsia="Times New Roman" w:hAnsi="Arial" w:cs="Arial"/>
          <w:lang w:eastAsia="es-ES"/>
        </w:rPr>
        <w:t>Formular el modelo como uno de programación lineal</w:t>
      </w:r>
    </w:p>
    <w:p w:rsidR="00CB79D9" w:rsidRPr="00CB79D9" w:rsidRDefault="00CB79D9" w:rsidP="007D5225">
      <w:pPr>
        <w:spacing w:before="100" w:beforeAutospacing="1" w:after="100" w:afterAutospacing="1" w:line="240" w:lineRule="auto"/>
        <w:jc w:val="both"/>
        <w:rPr>
          <w:rFonts w:ascii="Arial" w:eastAsia="Times New Roman" w:hAnsi="Arial" w:cs="Arial"/>
          <w:lang w:eastAsia="es-ES"/>
        </w:rPr>
      </w:pPr>
    </w:p>
    <w:sectPr w:rsidR="00CB79D9" w:rsidRPr="00CB79D9" w:rsidSect="005D23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6669"/>
    <w:multiLevelType w:val="hybridMultilevel"/>
    <w:tmpl w:val="1ED2D968"/>
    <w:lvl w:ilvl="0" w:tplc="47DC48E0">
      <w:start w:val="1"/>
      <w:numFmt w:val="decimal"/>
      <w:lvlText w:val="%1."/>
      <w:lvlJc w:val="left"/>
      <w:pPr>
        <w:ind w:left="810" w:hanging="45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C7731D"/>
    <w:multiLevelType w:val="hybridMultilevel"/>
    <w:tmpl w:val="E2DC9CC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94D58E6"/>
    <w:multiLevelType w:val="hybridMultilevel"/>
    <w:tmpl w:val="85D00DCA"/>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9E760D5"/>
    <w:multiLevelType w:val="hybridMultilevel"/>
    <w:tmpl w:val="12C2D90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C28735B"/>
    <w:multiLevelType w:val="hybridMultilevel"/>
    <w:tmpl w:val="683088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8906518"/>
    <w:multiLevelType w:val="hybridMultilevel"/>
    <w:tmpl w:val="6904199E"/>
    <w:lvl w:ilvl="0" w:tplc="404C0BD6">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2A4A8C"/>
    <w:multiLevelType w:val="multilevel"/>
    <w:tmpl w:val="1ED2D968"/>
    <w:lvl w:ilvl="0">
      <w:start w:val="1"/>
      <w:numFmt w:val="decimal"/>
      <w:lvlText w:val="%1."/>
      <w:lvlJc w:val="left"/>
      <w:pPr>
        <w:ind w:left="810" w:hanging="450"/>
      </w:pPr>
      <w:rPr>
        <w:rFonts w:ascii="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425D1B"/>
    <w:multiLevelType w:val="multilevel"/>
    <w:tmpl w:val="8D78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8055F"/>
    <w:multiLevelType w:val="multilevel"/>
    <w:tmpl w:val="8D78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C60BD0"/>
    <w:multiLevelType w:val="hybridMultilevel"/>
    <w:tmpl w:val="AD16D7B6"/>
    <w:lvl w:ilvl="0" w:tplc="EB5CE1D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75062BF8"/>
    <w:multiLevelType w:val="hybridMultilevel"/>
    <w:tmpl w:val="1D3255A6"/>
    <w:lvl w:ilvl="0" w:tplc="34BC7F2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3"/>
  </w:num>
  <w:num w:numId="5">
    <w:abstractNumId w:val="9"/>
  </w:num>
  <w:num w:numId="6">
    <w:abstractNumId w:val="6"/>
  </w:num>
  <w:num w:numId="7">
    <w:abstractNumId w:val="5"/>
  </w:num>
  <w:num w:numId="8">
    <w:abstractNumId w:val="1"/>
  </w:num>
  <w:num w:numId="9">
    <w:abstractNumId w:val="2"/>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B79D9"/>
    <w:rsid w:val="000024F8"/>
    <w:rsid w:val="00052CD3"/>
    <w:rsid w:val="002F364B"/>
    <w:rsid w:val="0055293B"/>
    <w:rsid w:val="005D2333"/>
    <w:rsid w:val="007203E9"/>
    <w:rsid w:val="007D5225"/>
    <w:rsid w:val="00871A00"/>
    <w:rsid w:val="00BE2BA5"/>
    <w:rsid w:val="00BF4B44"/>
    <w:rsid w:val="00C02A94"/>
    <w:rsid w:val="00CB79D9"/>
    <w:rsid w:val="00D40B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3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55293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55293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5293B"/>
    <w:pPr>
      <w:ind w:left="720"/>
      <w:contextualSpacing/>
    </w:pPr>
  </w:style>
</w:styles>
</file>

<file path=word/webSettings.xml><?xml version="1.0" encoding="utf-8"?>
<w:webSettings xmlns:r="http://schemas.openxmlformats.org/officeDocument/2006/relationships" xmlns:w="http://schemas.openxmlformats.org/wordprocessingml/2006/main">
  <w:divs>
    <w:div w:id="33817172">
      <w:bodyDiv w:val="1"/>
      <w:marLeft w:val="0"/>
      <w:marRight w:val="0"/>
      <w:marTop w:val="0"/>
      <w:marBottom w:val="0"/>
      <w:divBdr>
        <w:top w:val="none" w:sz="0" w:space="0" w:color="auto"/>
        <w:left w:val="none" w:sz="0" w:space="0" w:color="auto"/>
        <w:bottom w:val="none" w:sz="0" w:space="0" w:color="auto"/>
        <w:right w:val="none" w:sz="0" w:space="0" w:color="auto"/>
      </w:divBdr>
    </w:div>
    <w:div w:id="974287339">
      <w:bodyDiv w:val="1"/>
      <w:marLeft w:val="0"/>
      <w:marRight w:val="0"/>
      <w:marTop w:val="0"/>
      <w:marBottom w:val="0"/>
      <w:divBdr>
        <w:top w:val="none" w:sz="0" w:space="0" w:color="auto"/>
        <w:left w:val="none" w:sz="0" w:space="0" w:color="auto"/>
        <w:bottom w:val="none" w:sz="0" w:space="0" w:color="auto"/>
        <w:right w:val="none" w:sz="0" w:space="0" w:color="auto"/>
      </w:divBdr>
    </w:div>
    <w:div w:id="15797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mvmanya</dc:creator>
  <cp:keywords/>
  <dc:description/>
  <cp:lastModifiedBy>silgivar</cp:lastModifiedBy>
  <cp:revision>2</cp:revision>
  <dcterms:created xsi:type="dcterms:W3CDTF">2010-09-29T17:45:00Z</dcterms:created>
  <dcterms:modified xsi:type="dcterms:W3CDTF">2010-09-29T17:45:00Z</dcterms:modified>
</cp:coreProperties>
</file>