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FD" w:rsidRPr="00B0552D" w:rsidRDefault="003101A0" w:rsidP="00B0552D">
      <w:pPr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PRIMERA EVALUACION</w:t>
      </w:r>
      <w:r w:rsidR="00B0552D" w:rsidRPr="00B0552D">
        <w:rPr>
          <w:b/>
          <w:sz w:val="28"/>
          <w:szCs w:val="28"/>
          <w:lang w:val="es-MX"/>
        </w:rPr>
        <w:t xml:space="preserve"> FINANZAS II</w:t>
      </w:r>
    </w:p>
    <w:p w:rsidR="00B0552D" w:rsidRPr="00B0552D" w:rsidRDefault="00B0552D" w:rsidP="00B0552D">
      <w:pPr>
        <w:jc w:val="center"/>
        <w:rPr>
          <w:b/>
          <w:sz w:val="28"/>
          <w:szCs w:val="28"/>
          <w:lang w:val="es-MX"/>
        </w:rPr>
      </w:pPr>
      <w:r w:rsidRPr="00B0552D">
        <w:rPr>
          <w:b/>
          <w:sz w:val="28"/>
          <w:szCs w:val="28"/>
          <w:lang w:val="es-MX"/>
        </w:rPr>
        <w:t xml:space="preserve">FACULTAD DE </w:t>
      </w:r>
      <w:r w:rsidR="00BA4E05">
        <w:rPr>
          <w:b/>
          <w:sz w:val="28"/>
          <w:szCs w:val="28"/>
          <w:lang w:val="es-MX"/>
        </w:rPr>
        <w:t>ECONOMÍA Y NEGOCIOS</w:t>
      </w:r>
      <w:r w:rsidRPr="00B0552D">
        <w:rPr>
          <w:b/>
          <w:sz w:val="28"/>
          <w:szCs w:val="28"/>
          <w:lang w:val="es-MX"/>
        </w:rPr>
        <w:t xml:space="preserve"> – ESPOL</w:t>
      </w:r>
    </w:p>
    <w:p w:rsidR="00B0552D" w:rsidRDefault="00B0552D">
      <w:pPr>
        <w:rPr>
          <w:lang w:val="es-MX"/>
        </w:rPr>
      </w:pPr>
    </w:p>
    <w:p w:rsidR="00B0552D" w:rsidRDefault="00B0552D">
      <w:pPr>
        <w:rPr>
          <w:lang w:val="es-MX"/>
        </w:rPr>
      </w:pPr>
      <w:r>
        <w:rPr>
          <w:lang w:val="es-MX"/>
        </w:rPr>
        <w:t>NOMBRE</w:t>
      </w:r>
      <w:proofErr w:type="gramStart"/>
      <w:r>
        <w:rPr>
          <w:lang w:val="es-MX"/>
        </w:rPr>
        <w:t>:_</w:t>
      </w:r>
      <w:proofErr w:type="gramEnd"/>
      <w:r>
        <w:rPr>
          <w:lang w:val="es-MX"/>
        </w:rPr>
        <w:t>____________________________________________________________________</w:t>
      </w:r>
    </w:p>
    <w:p w:rsidR="00B0552D" w:rsidRDefault="00B0552D">
      <w:pPr>
        <w:rPr>
          <w:lang w:val="es-MX"/>
        </w:rPr>
      </w:pPr>
    </w:p>
    <w:p w:rsidR="00BD0C13" w:rsidRPr="00BA4E05" w:rsidRDefault="00BA4E05" w:rsidP="00BA4E05">
      <w:pPr>
        <w:numPr>
          <w:ilvl w:val="0"/>
          <w:numId w:val="1"/>
        </w:numPr>
        <w:jc w:val="both"/>
        <w:rPr>
          <w:lang w:val="es-MX"/>
        </w:rPr>
      </w:pPr>
      <w:r w:rsidRPr="00BA4E05">
        <w:rPr>
          <w:lang w:val="es-MX"/>
        </w:rPr>
        <w:t xml:space="preserve"> </w:t>
      </w:r>
      <w:r>
        <w:rPr>
          <w:lang w:val="es-MX"/>
        </w:rPr>
        <w:t xml:space="preserve">(20 puntos)  </w:t>
      </w:r>
      <w:r w:rsidRPr="00BA4E05">
        <w:rPr>
          <w:lang w:val="es-MX"/>
        </w:rPr>
        <w:t xml:space="preserve">El estado de resultados de </w:t>
      </w:r>
      <w:proofErr w:type="spellStart"/>
      <w:r w:rsidRPr="00BA4E05">
        <w:rPr>
          <w:lang w:val="es-MX"/>
        </w:rPr>
        <w:t>Sterling</w:t>
      </w:r>
      <w:proofErr w:type="spellEnd"/>
      <w:r w:rsidRPr="00BA4E05">
        <w:rPr>
          <w:lang w:val="es-MX"/>
        </w:rPr>
        <w:t xml:space="preserve"> Tire </w:t>
      </w:r>
      <w:proofErr w:type="spellStart"/>
      <w:r w:rsidRPr="00BA4E05">
        <w:rPr>
          <w:lang w:val="es-MX"/>
        </w:rPr>
        <w:t>Company</w:t>
      </w:r>
      <w:proofErr w:type="spellEnd"/>
      <w:r w:rsidRPr="00BA4E05">
        <w:rPr>
          <w:lang w:val="es-MX"/>
        </w:rPr>
        <w:t xml:space="preserve"> para 200</w:t>
      </w:r>
      <w:r w:rsidR="009D0504">
        <w:rPr>
          <w:lang w:val="es-MX"/>
        </w:rPr>
        <w:t>9</w:t>
      </w:r>
      <w:r w:rsidRPr="00BA4E05">
        <w:rPr>
          <w:lang w:val="es-MX"/>
        </w:rPr>
        <w:t xml:space="preserve"> es como sigue:</w:t>
      </w:r>
    </w:p>
    <w:p w:rsidR="00BA4E05" w:rsidRPr="00BA4E05" w:rsidRDefault="00BA4E05" w:rsidP="00BA4E05">
      <w:pPr>
        <w:ind w:left="720"/>
        <w:jc w:val="both"/>
        <w:rPr>
          <w:lang w:val="es-MX"/>
        </w:rPr>
      </w:pPr>
    </w:p>
    <w:p w:rsidR="00BA4E05" w:rsidRDefault="00BA4E05" w:rsidP="00BA4E05">
      <w:pPr>
        <w:jc w:val="center"/>
        <w:rPr>
          <w:lang w:val="es-MX"/>
        </w:rPr>
      </w:pPr>
      <w:r w:rsidRPr="00BA4E05">
        <w:rPr>
          <w:lang w:val="es-MX"/>
        </w:rPr>
        <w:t>STERLING TIRE COMPANY</w:t>
      </w:r>
    </w:p>
    <w:p w:rsidR="00BA4E05" w:rsidRDefault="00BA4E05" w:rsidP="00BA4E05">
      <w:pPr>
        <w:jc w:val="center"/>
        <w:rPr>
          <w:lang w:val="es-MX"/>
        </w:rPr>
      </w:pPr>
      <w:r>
        <w:rPr>
          <w:lang w:val="es-MX"/>
        </w:rPr>
        <w:t>Estado de Resultados</w:t>
      </w:r>
    </w:p>
    <w:p w:rsidR="00BA4E05" w:rsidRDefault="00BA4E05" w:rsidP="00BA4E05">
      <w:pPr>
        <w:jc w:val="center"/>
        <w:rPr>
          <w:lang w:val="es-MX"/>
        </w:rPr>
      </w:pPr>
      <w:r>
        <w:rPr>
          <w:lang w:val="es-MX"/>
        </w:rPr>
        <w:t>Al 31 de diciembre de 2009</w:t>
      </w:r>
    </w:p>
    <w:p w:rsidR="00BA4E05" w:rsidRDefault="00BA4E05" w:rsidP="00BA4E05">
      <w:pPr>
        <w:jc w:val="both"/>
        <w:rPr>
          <w:lang w:val="es-MX"/>
        </w:rPr>
      </w:pPr>
      <w:r>
        <w:rPr>
          <w:lang w:val="es-MX"/>
        </w:rPr>
        <w:t>Ventas (20000 llantas a $60 cada una)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1.200.000</w:t>
      </w:r>
    </w:p>
    <w:p w:rsidR="00BA4E05" w:rsidRDefault="00BA4E05" w:rsidP="00BA4E05">
      <w:pPr>
        <w:jc w:val="both"/>
        <w:rPr>
          <w:lang w:val="es-MX"/>
        </w:rPr>
      </w:pPr>
      <w:r>
        <w:rPr>
          <w:lang w:val="es-MX"/>
        </w:rPr>
        <w:t>(-) Costo Variable (20000 llantas a $30 cada una)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600.000</w:t>
      </w:r>
    </w:p>
    <w:p w:rsidR="00BA4E05" w:rsidRDefault="00BA4E05" w:rsidP="00BA4E05">
      <w:pPr>
        <w:jc w:val="both"/>
        <w:rPr>
          <w:lang w:val="es-MX"/>
        </w:rPr>
      </w:pPr>
      <w:r>
        <w:rPr>
          <w:lang w:val="es-MX"/>
        </w:rPr>
        <w:t>(-) Costos Fijos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BA4E05">
        <w:rPr>
          <w:u w:val="single"/>
          <w:lang w:val="es-MX"/>
        </w:rPr>
        <w:t xml:space="preserve">   400.000</w:t>
      </w:r>
    </w:p>
    <w:p w:rsidR="00BA4E05" w:rsidRDefault="00BA4E05" w:rsidP="00BA4E05">
      <w:pPr>
        <w:jc w:val="both"/>
        <w:rPr>
          <w:lang w:val="es-MX"/>
        </w:rPr>
      </w:pPr>
      <w:r>
        <w:rPr>
          <w:lang w:val="es-MX"/>
        </w:rPr>
        <w:t>(=) Utilidad Operacional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200.000</w:t>
      </w:r>
    </w:p>
    <w:p w:rsidR="00BA4E05" w:rsidRPr="00BA4E05" w:rsidRDefault="00BA4E05" w:rsidP="00BA4E05">
      <w:pPr>
        <w:jc w:val="both"/>
        <w:rPr>
          <w:u w:val="single"/>
          <w:lang w:val="es-MX"/>
        </w:rPr>
      </w:pPr>
      <w:r>
        <w:rPr>
          <w:lang w:val="es-MX"/>
        </w:rPr>
        <w:t>(-)  Gastos por intereses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BA4E05">
        <w:rPr>
          <w:u w:val="single"/>
          <w:lang w:val="es-MX"/>
        </w:rPr>
        <w:t xml:space="preserve">     50.000</w:t>
      </w:r>
    </w:p>
    <w:p w:rsidR="00BA4E05" w:rsidRDefault="00BA4E05" w:rsidP="00BA4E05">
      <w:pPr>
        <w:jc w:val="both"/>
        <w:rPr>
          <w:lang w:val="es-MX"/>
        </w:rPr>
      </w:pPr>
      <w:r>
        <w:rPr>
          <w:lang w:val="es-MX"/>
        </w:rPr>
        <w:t>(=) Utilidad antes impuestos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150.000</w:t>
      </w:r>
    </w:p>
    <w:p w:rsidR="00BA4E05" w:rsidRDefault="00BA4E05" w:rsidP="00BA4E05">
      <w:pPr>
        <w:jc w:val="both"/>
        <w:rPr>
          <w:lang w:val="es-MX"/>
        </w:rPr>
      </w:pPr>
      <w:r>
        <w:rPr>
          <w:lang w:val="es-MX"/>
        </w:rPr>
        <w:t>(-) 30% Impuestos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BA4E05">
        <w:rPr>
          <w:u w:val="single"/>
          <w:lang w:val="es-MX"/>
        </w:rPr>
        <w:t xml:space="preserve">     45.000</w:t>
      </w:r>
    </w:p>
    <w:p w:rsidR="00BA4E05" w:rsidRDefault="00BA4E05" w:rsidP="00BA4E05">
      <w:pPr>
        <w:jc w:val="both"/>
        <w:rPr>
          <w:lang w:val="es-MX"/>
        </w:rPr>
      </w:pPr>
      <w:r>
        <w:rPr>
          <w:lang w:val="es-MX"/>
        </w:rPr>
        <w:t>(=)  Utilidad Neta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105.000</w:t>
      </w:r>
    </w:p>
    <w:p w:rsidR="00BA4E05" w:rsidRDefault="00BA4E05" w:rsidP="00BA4E05">
      <w:pPr>
        <w:jc w:val="both"/>
        <w:rPr>
          <w:lang w:val="es-MX"/>
        </w:rPr>
      </w:pPr>
    </w:p>
    <w:p w:rsidR="00BA4E05" w:rsidRDefault="00BA4E05" w:rsidP="00BA4E05">
      <w:pPr>
        <w:jc w:val="both"/>
        <w:rPr>
          <w:lang w:val="es-MX"/>
        </w:rPr>
      </w:pPr>
      <w:r>
        <w:rPr>
          <w:lang w:val="es-MX"/>
        </w:rPr>
        <w:t>Dado el Estado de Resultados, calcule lo siguiente:</w:t>
      </w:r>
    </w:p>
    <w:p w:rsidR="00BA4E05" w:rsidRDefault="00BA4E05" w:rsidP="00BA4E05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 xml:space="preserve">GAO e </w:t>
      </w:r>
      <w:proofErr w:type="spellStart"/>
      <w:r>
        <w:rPr>
          <w:lang w:val="es-MX"/>
        </w:rPr>
        <w:t>interprete</w:t>
      </w:r>
      <w:proofErr w:type="spellEnd"/>
      <w:r>
        <w:rPr>
          <w:lang w:val="es-MX"/>
        </w:rPr>
        <w:t xml:space="preserve"> su respuesta.</w:t>
      </w:r>
    </w:p>
    <w:p w:rsidR="00BA4E05" w:rsidRDefault="00BA4E05" w:rsidP="00BA4E05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 xml:space="preserve">GAF e </w:t>
      </w:r>
      <w:proofErr w:type="spellStart"/>
      <w:r>
        <w:rPr>
          <w:lang w:val="es-MX"/>
        </w:rPr>
        <w:t>interprete</w:t>
      </w:r>
      <w:proofErr w:type="spellEnd"/>
      <w:r>
        <w:rPr>
          <w:lang w:val="es-MX"/>
        </w:rPr>
        <w:t xml:space="preserve"> su respuesta.</w:t>
      </w:r>
    </w:p>
    <w:p w:rsidR="00BA4E05" w:rsidRDefault="00BA4E05" w:rsidP="00BA4E05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La nueva utilidad operacional ante un incremento del 35% de las unidades vendidas.</w:t>
      </w:r>
    </w:p>
    <w:p w:rsidR="00BA4E05" w:rsidRDefault="00BA4E05" w:rsidP="00BA4E05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La nueva utilidad neta considerando un incremento del 40% en la utilidad antes de intereses e impuestos.</w:t>
      </w:r>
    </w:p>
    <w:p w:rsidR="009D0504" w:rsidRDefault="009D0504" w:rsidP="009D0504">
      <w:pPr>
        <w:jc w:val="both"/>
        <w:rPr>
          <w:lang w:val="es-MX"/>
        </w:rPr>
      </w:pPr>
    </w:p>
    <w:p w:rsidR="00BA4E05" w:rsidRDefault="00BA4E05" w:rsidP="00BA4E05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 (40 puntos)  Las ventas y las compras reales de ARCHER </w:t>
      </w:r>
      <w:proofErr w:type="spellStart"/>
      <w:r>
        <w:rPr>
          <w:lang w:val="es-MX"/>
        </w:rPr>
        <w:t>Company</w:t>
      </w:r>
      <w:proofErr w:type="spellEnd"/>
      <w:r>
        <w:rPr>
          <w:lang w:val="es-MX"/>
        </w:rPr>
        <w:t xml:space="preserve"> durante los meses de abril y mayo se encuentre aquí junto con las ventas y las compras pronosticadas durante los meses de junio a septiembre:</w:t>
      </w:r>
    </w:p>
    <w:p w:rsidR="00BA4E05" w:rsidRDefault="00BA4E05" w:rsidP="00BA4E05">
      <w:pPr>
        <w:ind w:left="720"/>
        <w:jc w:val="both"/>
        <w:rPr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2969"/>
        <w:gridCol w:w="1116"/>
        <w:gridCol w:w="1203"/>
        <w:gridCol w:w="2191"/>
        <w:gridCol w:w="1985"/>
      </w:tblGrid>
      <w:tr w:rsidR="000433E7" w:rsidTr="009D0504">
        <w:tc>
          <w:tcPr>
            <w:tcW w:w="2969" w:type="dxa"/>
            <w:vAlign w:val="center"/>
          </w:tcPr>
          <w:p w:rsidR="000433E7" w:rsidRDefault="000433E7" w:rsidP="000433E7">
            <w:pPr>
              <w:jc w:val="center"/>
              <w:rPr>
                <w:lang w:val="es-MX"/>
              </w:rPr>
            </w:pPr>
          </w:p>
        </w:tc>
        <w:tc>
          <w:tcPr>
            <w:tcW w:w="1116" w:type="dxa"/>
            <w:vAlign w:val="center"/>
          </w:tcPr>
          <w:p w:rsidR="000433E7" w:rsidRDefault="000433E7" w:rsidP="000433E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Ventas</w:t>
            </w:r>
          </w:p>
        </w:tc>
        <w:tc>
          <w:tcPr>
            <w:tcW w:w="1203" w:type="dxa"/>
            <w:vAlign w:val="center"/>
          </w:tcPr>
          <w:p w:rsidR="000433E7" w:rsidRDefault="000433E7" w:rsidP="000433E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Compras</w:t>
            </w:r>
          </w:p>
        </w:tc>
        <w:tc>
          <w:tcPr>
            <w:tcW w:w="2191" w:type="dxa"/>
            <w:vAlign w:val="center"/>
          </w:tcPr>
          <w:p w:rsidR="000433E7" w:rsidRDefault="000433E7" w:rsidP="000433E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Cobros en efectivo (Matriz </w:t>
            </w:r>
            <w:proofErr w:type="spellStart"/>
            <w:r>
              <w:rPr>
                <w:lang w:val="es-MX"/>
              </w:rPr>
              <w:t>CxC</w:t>
            </w:r>
            <w:proofErr w:type="spellEnd"/>
            <w:r>
              <w:rPr>
                <w:lang w:val="es-MX"/>
              </w:rPr>
              <w:t>)</w:t>
            </w:r>
          </w:p>
        </w:tc>
        <w:tc>
          <w:tcPr>
            <w:tcW w:w="1985" w:type="dxa"/>
            <w:vAlign w:val="center"/>
          </w:tcPr>
          <w:p w:rsidR="000433E7" w:rsidRDefault="000433E7" w:rsidP="000433E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Pagos en efectivo (Matriz </w:t>
            </w:r>
            <w:proofErr w:type="spellStart"/>
            <w:r>
              <w:rPr>
                <w:lang w:val="es-MX"/>
              </w:rPr>
              <w:t>CxP</w:t>
            </w:r>
            <w:proofErr w:type="spellEnd"/>
            <w:r>
              <w:rPr>
                <w:lang w:val="es-MX"/>
              </w:rPr>
              <w:t>)</w:t>
            </w:r>
          </w:p>
        </w:tc>
      </w:tr>
      <w:tr w:rsidR="000433E7" w:rsidTr="009D0504">
        <w:tc>
          <w:tcPr>
            <w:tcW w:w="2969" w:type="dxa"/>
          </w:tcPr>
          <w:p w:rsidR="000433E7" w:rsidRDefault="000433E7" w:rsidP="00BA4E05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Abril (reales)</w:t>
            </w:r>
          </w:p>
        </w:tc>
        <w:tc>
          <w:tcPr>
            <w:tcW w:w="1116" w:type="dxa"/>
          </w:tcPr>
          <w:p w:rsidR="000433E7" w:rsidRDefault="000433E7" w:rsidP="00BA4E0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320.000</w:t>
            </w:r>
          </w:p>
        </w:tc>
        <w:tc>
          <w:tcPr>
            <w:tcW w:w="1203" w:type="dxa"/>
          </w:tcPr>
          <w:p w:rsidR="000433E7" w:rsidRDefault="000433E7" w:rsidP="00BA4E0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130.000</w:t>
            </w:r>
          </w:p>
        </w:tc>
        <w:tc>
          <w:tcPr>
            <w:tcW w:w="2191" w:type="dxa"/>
          </w:tcPr>
          <w:p w:rsidR="000433E7" w:rsidRDefault="000433E7" w:rsidP="00BA4E05">
            <w:pPr>
              <w:jc w:val="center"/>
              <w:rPr>
                <w:lang w:val="es-MX"/>
              </w:rPr>
            </w:pPr>
          </w:p>
        </w:tc>
        <w:tc>
          <w:tcPr>
            <w:tcW w:w="1985" w:type="dxa"/>
          </w:tcPr>
          <w:p w:rsidR="000433E7" w:rsidRDefault="000433E7" w:rsidP="00BA4E05">
            <w:pPr>
              <w:jc w:val="center"/>
              <w:rPr>
                <w:lang w:val="es-MX"/>
              </w:rPr>
            </w:pPr>
          </w:p>
        </w:tc>
      </w:tr>
      <w:tr w:rsidR="000433E7" w:rsidTr="009D0504">
        <w:tc>
          <w:tcPr>
            <w:tcW w:w="2969" w:type="dxa"/>
          </w:tcPr>
          <w:p w:rsidR="000433E7" w:rsidRDefault="000433E7" w:rsidP="00BA4E05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Mayo (reales)</w:t>
            </w:r>
          </w:p>
        </w:tc>
        <w:tc>
          <w:tcPr>
            <w:tcW w:w="1116" w:type="dxa"/>
          </w:tcPr>
          <w:p w:rsidR="000433E7" w:rsidRDefault="000433E7" w:rsidP="00BA4E0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300.000</w:t>
            </w:r>
          </w:p>
        </w:tc>
        <w:tc>
          <w:tcPr>
            <w:tcW w:w="1203" w:type="dxa"/>
          </w:tcPr>
          <w:p w:rsidR="000433E7" w:rsidRDefault="000433E7" w:rsidP="00BA4E0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120.000</w:t>
            </w:r>
          </w:p>
        </w:tc>
        <w:tc>
          <w:tcPr>
            <w:tcW w:w="2191" w:type="dxa"/>
          </w:tcPr>
          <w:p w:rsidR="000433E7" w:rsidRDefault="000433E7" w:rsidP="00BA4E05">
            <w:pPr>
              <w:jc w:val="center"/>
              <w:rPr>
                <w:lang w:val="es-MX"/>
              </w:rPr>
            </w:pPr>
          </w:p>
        </w:tc>
        <w:tc>
          <w:tcPr>
            <w:tcW w:w="1985" w:type="dxa"/>
            <w:vAlign w:val="bottom"/>
          </w:tcPr>
          <w:p w:rsidR="000433E7" w:rsidRPr="009D0504" w:rsidRDefault="000433E7" w:rsidP="009D0504">
            <w:pPr>
              <w:jc w:val="center"/>
              <w:rPr>
                <w:lang w:val="es-MX"/>
              </w:rPr>
            </w:pPr>
            <w:r w:rsidRPr="009D0504">
              <w:rPr>
                <w:lang w:val="es-MX"/>
              </w:rPr>
              <w:t>52</w:t>
            </w:r>
            <w:r w:rsidR="009D0504">
              <w:rPr>
                <w:lang w:val="es-MX"/>
              </w:rPr>
              <w:t>.</w:t>
            </w:r>
            <w:r w:rsidRPr="009D0504">
              <w:rPr>
                <w:lang w:val="es-MX"/>
              </w:rPr>
              <w:t>000</w:t>
            </w:r>
          </w:p>
        </w:tc>
      </w:tr>
      <w:tr w:rsidR="000433E7" w:rsidTr="009D0504">
        <w:tc>
          <w:tcPr>
            <w:tcW w:w="2969" w:type="dxa"/>
          </w:tcPr>
          <w:p w:rsidR="000433E7" w:rsidRDefault="000433E7" w:rsidP="00BA4E05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Junio (pronosticadas)</w:t>
            </w:r>
          </w:p>
        </w:tc>
        <w:tc>
          <w:tcPr>
            <w:tcW w:w="1116" w:type="dxa"/>
          </w:tcPr>
          <w:p w:rsidR="000433E7" w:rsidRDefault="000433E7" w:rsidP="00BA4E0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275.000</w:t>
            </w:r>
          </w:p>
        </w:tc>
        <w:tc>
          <w:tcPr>
            <w:tcW w:w="1203" w:type="dxa"/>
          </w:tcPr>
          <w:p w:rsidR="000433E7" w:rsidRDefault="000433E7" w:rsidP="00BA4E0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120.000</w:t>
            </w:r>
          </w:p>
        </w:tc>
        <w:tc>
          <w:tcPr>
            <w:tcW w:w="2191" w:type="dxa"/>
            <w:vAlign w:val="bottom"/>
          </w:tcPr>
          <w:p w:rsidR="000433E7" w:rsidRPr="009D0504" w:rsidRDefault="000433E7" w:rsidP="009D0504">
            <w:pPr>
              <w:jc w:val="center"/>
              <w:rPr>
                <w:lang w:val="es-MX"/>
              </w:rPr>
            </w:pPr>
            <w:r w:rsidRPr="009D0504">
              <w:rPr>
                <w:lang w:val="es-MX"/>
              </w:rPr>
              <w:t>311.900</w:t>
            </w:r>
          </w:p>
        </w:tc>
        <w:tc>
          <w:tcPr>
            <w:tcW w:w="1985" w:type="dxa"/>
            <w:vAlign w:val="bottom"/>
          </w:tcPr>
          <w:p w:rsidR="000433E7" w:rsidRPr="009D0504" w:rsidRDefault="000433E7" w:rsidP="009D0504">
            <w:pPr>
              <w:jc w:val="center"/>
              <w:rPr>
                <w:lang w:val="es-MX"/>
              </w:rPr>
            </w:pPr>
            <w:r w:rsidRPr="009D0504">
              <w:rPr>
                <w:lang w:val="es-MX"/>
              </w:rPr>
              <w:t>126</w:t>
            </w:r>
            <w:r w:rsidR="009D0504">
              <w:rPr>
                <w:lang w:val="es-MX"/>
              </w:rPr>
              <w:t>.</w:t>
            </w:r>
            <w:r w:rsidRPr="009D0504">
              <w:rPr>
                <w:lang w:val="es-MX"/>
              </w:rPr>
              <w:t>000</w:t>
            </w:r>
          </w:p>
        </w:tc>
      </w:tr>
      <w:tr w:rsidR="000433E7" w:rsidTr="009D0504">
        <w:tc>
          <w:tcPr>
            <w:tcW w:w="2969" w:type="dxa"/>
          </w:tcPr>
          <w:p w:rsidR="000433E7" w:rsidRDefault="000433E7" w:rsidP="00BA4E05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Julio (pronosticadas)</w:t>
            </w:r>
          </w:p>
        </w:tc>
        <w:tc>
          <w:tcPr>
            <w:tcW w:w="1116" w:type="dxa"/>
          </w:tcPr>
          <w:p w:rsidR="000433E7" w:rsidRDefault="000433E7" w:rsidP="00BA4E0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275.000</w:t>
            </w:r>
          </w:p>
        </w:tc>
        <w:tc>
          <w:tcPr>
            <w:tcW w:w="1203" w:type="dxa"/>
          </w:tcPr>
          <w:p w:rsidR="000433E7" w:rsidRDefault="000433E7" w:rsidP="00BA4E0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180.000</w:t>
            </w:r>
          </w:p>
        </w:tc>
        <w:tc>
          <w:tcPr>
            <w:tcW w:w="2191" w:type="dxa"/>
            <w:vAlign w:val="bottom"/>
          </w:tcPr>
          <w:p w:rsidR="000433E7" w:rsidRPr="009D0504" w:rsidRDefault="000433E7" w:rsidP="009D0504">
            <w:pPr>
              <w:jc w:val="center"/>
              <w:rPr>
                <w:lang w:val="es-MX"/>
              </w:rPr>
            </w:pPr>
            <w:r w:rsidRPr="009D0504">
              <w:rPr>
                <w:lang w:val="es-MX"/>
              </w:rPr>
              <w:t>293.000</w:t>
            </w:r>
          </w:p>
        </w:tc>
        <w:tc>
          <w:tcPr>
            <w:tcW w:w="1985" w:type="dxa"/>
            <w:vAlign w:val="bottom"/>
          </w:tcPr>
          <w:p w:rsidR="000433E7" w:rsidRPr="009D0504" w:rsidRDefault="000433E7" w:rsidP="009D0504">
            <w:pPr>
              <w:jc w:val="center"/>
              <w:rPr>
                <w:lang w:val="es-MX"/>
              </w:rPr>
            </w:pPr>
            <w:r w:rsidRPr="009D0504">
              <w:rPr>
                <w:lang w:val="es-MX"/>
              </w:rPr>
              <w:t>120</w:t>
            </w:r>
            <w:r w:rsidR="009D0504">
              <w:rPr>
                <w:lang w:val="es-MX"/>
              </w:rPr>
              <w:t>.</w:t>
            </w:r>
            <w:r w:rsidRPr="009D0504">
              <w:rPr>
                <w:lang w:val="es-MX"/>
              </w:rPr>
              <w:t>000</w:t>
            </w:r>
          </w:p>
        </w:tc>
      </w:tr>
      <w:tr w:rsidR="000433E7" w:rsidTr="009D0504">
        <w:tc>
          <w:tcPr>
            <w:tcW w:w="2969" w:type="dxa"/>
          </w:tcPr>
          <w:p w:rsidR="000433E7" w:rsidRDefault="000433E7" w:rsidP="00BA4E05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Agosto (pronosticadas)</w:t>
            </w:r>
          </w:p>
        </w:tc>
        <w:tc>
          <w:tcPr>
            <w:tcW w:w="1116" w:type="dxa"/>
          </w:tcPr>
          <w:p w:rsidR="000433E7" w:rsidRDefault="000433E7" w:rsidP="00BA4E0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290.000</w:t>
            </w:r>
          </w:p>
        </w:tc>
        <w:tc>
          <w:tcPr>
            <w:tcW w:w="1203" w:type="dxa"/>
          </w:tcPr>
          <w:p w:rsidR="000433E7" w:rsidRDefault="000433E7" w:rsidP="00BA4E0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200.000</w:t>
            </w:r>
          </w:p>
        </w:tc>
        <w:tc>
          <w:tcPr>
            <w:tcW w:w="2191" w:type="dxa"/>
            <w:vAlign w:val="bottom"/>
          </w:tcPr>
          <w:p w:rsidR="000433E7" w:rsidRPr="009D0504" w:rsidRDefault="000433E7" w:rsidP="009D0504">
            <w:pPr>
              <w:jc w:val="center"/>
              <w:rPr>
                <w:lang w:val="es-MX"/>
              </w:rPr>
            </w:pPr>
            <w:r w:rsidRPr="009D0504">
              <w:rPr>
                <w:lang w:val="es-MX"/>
              </w:rPr>
              <w:t>276.500</w:t>
            </w:r>
          </w:p>
        </w:tc>
        <w:tc>
          <w:tcPr>
            <w:tcW w:w="1985" w:type="dxa"/>
            <w:vAlign w:val="bottom"/>
          </w:tcPr>
          <w:p w:rsidR="000433E7" w:rsidRPr="009D0504" w:rsidRDefault="000433E7" w:rsidP="009D0504">
            <w:pPr>
              <w:jc w:val="center"/>
              <w:rPr>
                <w:lang w:val="es-MX"/>
              </w:rPr>
            </w:pPr>
            <w:r w:rsidRPr="009D0504">
              <w:rPr>
                <w:lang w:val="es-MX"/>
              </w:rPr>
              <w:t>144</w:t>
            </w:r>
            <w:r w:rsidR="009D0504">
              <w:rPr>
                <w:lang w:val="es-MX"/>
              </w:rPr>
              <w:t>.</w:t>
            </w:r>
            <w:r w:rsidRPr="009D0504">
              <w:rPr>
                <w:lang w:val="es-MX"/>
              </w:rPr>
              <w:t>000</w:t>
            </w:r>
          </w:p>
        </w:tc>
      </w:tr>
      <w:tr w:rsidR="000433E7" w:rsidTr="009D0504">
        <w:tc>
          <w:tcPr>
            <w:tcW w:w="2969" w:type="dxa"/>
          </w:tcPr>
          <w:p w:rsidR="000433E7" w:rsidRDefault="000433E7" w:rsidP="00BA4E05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Septiembre (pronosticadas)</w:t>
            </w:r>
          </w:p>
        </w:tc>
        <w:tc>
          <w:tcPr>
            <w:tcW w:w="1116" w:type="dxa"/>
          </w:tcPr>
          <w:p w:rsidR="000433E7" w:rsidRDefault="000433E7" w:rsidP="00BA4E0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330.000</w:t>
            </w:r>
          </w:p>
        </w:tc>
        <w:tc>
          <w:tcPr>
            <w:tcW w:w="1203" w:type="dxa"/>
          </w:tcPr>
          <w:p w:rsidR="000433E7" w:rsidRDefault="000433E7" w:rsidP="00BA4E0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170.000</w:t>
            </w:r>
          </w:p>
        </w:tc>
        <w:tc>
          <w:tcPr>
            <w:tcW w:w="2191" w:type="dxa"/>
            <w:vAlign w:val="bottom"/>
          </w:tcPr>
          <w:p w:rsidR="000433E7" w:rsidRPr="009D0504" w:rsidRDefault="000433E7" w:rsidP="009D0504">
            <w:pPr>
              <w:jc w:val="center"/>
              <w:rPr>
                <w:lang w:val="es-MX"/>
              </w:rPr>
            </w:pPr>
            <w:r w:rsidRPr="009D0504">
              <w:rPr>
                <w:lang w:val="es-MX"/>
              </w:rPr>
              <w:t>283.200</w:t>
            </w:r>
          </w:p>
        </w:tc>
        <w:tc>
          <w:tcPr>
            <w:tcW w:w="1985" w:type="dxa"/>
            <w:vAlign w:val="bottom"/>
          </w:tcPr>
          <w:p w:rsidR="000433E7" w:rsidRPr="009D0504" w:rsidRDefault="000433E7" w:rsidP="009D0504">
            <w:pPr>
              <w:jc w:val="center"/>
              <w:rPr>
                <w:lang w:val="es-MX"/>
              </w:rPr>
            </w:pPr>
            <w:r w:rsidRPr="009D0504">
              <w:rPr>
                <w:lang w:val="es-MX"/>
              </w:rPr>
              <w:t>188</w:t>
            </w:r>
            <w:r w:rsidR="009D0504">
              <w:rPr>
                <w:lang w:val="es-MX"/>
              </w:rPr>
              <w:t>.</w:t>
            </w:r>
            <w:r w:rsidRPr="009D0504">
              <w:rPr>
                <w:lang w:val="es-MX"/>
              </w:rPr>
              <w:t>000</w:t>
            </w:r>
          </w:p>
        </w:tc>
      </w:tr>
    </w:tbl>
    <w:p w:rsidR="00BA4E05" w:rsidRDefault="00BA4E05" w:rsidP="00BA4E05">
      <w:pPr>
        <w:jc w:val="both"/>
        <w:rPr>
          <w:lang w:val="es-MX"/>
        </w:rPr>
      </w:pPr>
    </w:p>
    <w:p w:rsidR="009D0504" w:rsidRDefault="009D0504" w:rsidP="00BA4E05">
      <w:pPr>
        <w:jc w:val="both"/>
        <w:rPr>
          <w:lang w:val="es-MX"/>
        </w:rPr>
      </w:pPr>
      <w:r>
        <w:rPr>
          <w:lang w:val="es-MX"/>
        </w:rPr>
        <w:t xml:space="preserve">Los gastos de mano de obra son iguales al 10% de las ventas del mes actual.  Los pagos de intereses de 30.000 dólares se deben liquidar en junio y agosto.  Existe un dividendo programado para pagarse en junio de 50.000 dólares en efectivo.  Los pagos de impuestos son de 25.000 dólares programados para junio y septiembre.  </w:t>
      </w:r>
      <w:r w:rsidR="00673368">
        <w:rPr>
          <w:lang w:val="es-MX"/>
        </w:rPr>
        <w:t xml:space="preserve">Se tiene previsto vender un activo en efectivo en 25.000 dólares en junio.  </w:t>
      </w:r>
      <w:r>
        <w:rPr>
          <w:lang w:val="es-MX"/>
        </w:rPr>
        <w:t xml:space="preserve">Existe un desembolso de capital de 30.000 dólares en agosto.  El saldo final de efectivo de ARCHER en mayo es de 20.000 dólares.  </w:t>
      </w:r>
    </w:p>
    <w:p w:rsidR="009D0504" w:rsidRDefault="009D0504" w:rsidP="00BA4E05">
      <w:pPr>
        <w:jc w:val="both"/>
        <w:rPr>
          <w:lang w:val="es-MX"/>
        </w:rPr>
      </w:pPr>
    </w:p>
    <w:p w:rsidR="009D0504" w:rsidRPr="009D0504" w:rsidRDefault="009D0504" w:rsidP="00BA4E05">
      <w:pPr>
        <w:jc w:val="both"/>
        <w:rPr>
          <w:b/>
          <w:lang w:val="es-MX"/>
        </w:rPr>
      </w:pPr>
      <w:r w:rsidRPr="009D0504">
        <w:rPr>
          <w:b/>
          <w:lang w:val="es-MX"/>
        </w:rPr>
        <w:t xml:space="preserve">Prepare el presupuesto mensual de efectivo de </w:t>
      </w:r>
      <w:r w:rsidRPr="009D0504">
        <w:rPr>
          <w:b/>
          <w:i/>
          <w:lang w:val="es-MX"/>
        </w:rPr>
        <w:t>junio a agosto</w:t>
      </w:r>
      <w:r w:rsidRPr="009D0504">
        <w:rPr>
          <w:b/>
          <w:lang w:val="es-MX"/>
        </w:rPr>
        <w:t xml:space="preserve"> considerando que el saldo máximo de efectivo deseado es de 50.000 dólares y el mínimo deseado es de 10.000 dólares.  El exceso de efectivo se utiliza para comprar Valores Negociables y en caso de que haya faltante de efectivo, antes de realizar Préstamos a Corto Plazo, se venden los Valores </w:t>
      </w:r>
      <w:proofErr w:type="spellStart"/>
      <w:r w:rsidRPr="009D0504">
        <w:rPr>
          <w:b/>
          <w:lang w:val="es-MX"/>
        </w:rPr>
        <w:t>Negociales</w:t>
      </w:r>
      <w:proofErr w:type="spellEnd"/>
      <w:r w:rsidRPr="009D0504">
        <w:rPr>
          <w:b/>
          <w:lang w:val="es-MX"/>
        </w:rPr>
        <w:t>.</w:t>
      </w:r>
    </w:p>
    <w:sectPr w:rsidR="009D0504" w:rsidRPr="009D0504" w:rsidSect="009D0504">
      <w:pgSz w:w="12240" w:h="15840"/>
      <w:pgMar w:top="567" w:right="136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5275E"/>
    <w:multiLevelType w:val="hybridMultilevel"/>
    <w:tmpl w:val="46745C1E"/>
    <w:lvl w:ilvl="0" w:tplc="3D902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D48FB"/>
    <w:multiLevelType w:val="hybridMultilevel"/>
    <w:tmpl w:val="7338C53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0552D"/>
    <w:rsid w:val="000433E7"/>
    <w:rsid w:val="000821C7"/>
    <w:rsid w:val="001517A5"/>
    <w:rsid w:val="001D6173"/>
    <w:rsid w:val="00206BDA"/>
    <w:rsid w:val="002B7C49"/>
    <w:rsid w:val="003101A0"/>
    <w:rsid w:val="00437D43"/>
    <w:rsid w:val="004836FD"/>
    <w:rsid w:val="004E24D0"/>
    <w:rsid w:val="004F74E2"/>
    <w:rsid w:val="005C4E95"/>
    <w:rsid w:val="005F66B6"/>
    <w:rsid w:val="00625CD1"/>
    <w:rsid w:val="00673368"/>
    <w:rsid w:val="00745677"/>
    <w:rsid w:val="0075186B"/>
    <w:rsid w:val="00831AE0"/>
    <w:rsid w:val="009D0504"/>
    <w:rsid w:val="009F7E5D"/>
    <w:rsid w:val="00A766A9"/>
    <w:rsid w:val="00B0552D"/>
    <w:rsid w:val="00B31ED1"/>
    <w:rsid w:val="00BA4E05"/>
    <w:rsid w:val="00BD0C13"/>
    <w:rsid w:val="00BF76FF"/>
    <w:rsid w:val="00C37ECE"/>
    <w:rsid w:val="00D96C09"/>
    <w:rsid w:val="00DE038C"/>
    <w:rsid w:val="00EE3243"/>
    <w:rsid w:val="00FD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B05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PARCIAL FINANZAS II</vt:lpstr>
    </vt:vector>
  </TitlesOfParts>
  <Company>espol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PARCIAL FINANZAS II</dc:title>
  <dc:subject/>
  <dc:creator>Ma. Elena Romero Montoya</dc:creator>
  <cp:keywords/>
  <dc:description/>
  <cp:lastModifiedBy>Administrator</cp:lastModifiedBy>
  <cp:revision>2</cp:revision>
  <cp:lastPrinted>2010-07-08T23:55:00Z</cp:lastPrinted>
  <dcterms:created xsi:type="dcterms:W3CDTF">2010-07-09T00:03:00Z</dcterms:created>
  <dcterms:modified xsi:type="dcterms:W3CDTF">2010-07-09T00:03:00Z</dcterms:modified>
</cp:coreProperties>
</file>