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5D" w:rsidRDefault="00D2605D" w:rsidP="00D2605D">
      <w:pPr>
        <w:spacing w:before="100" w:beforeAutospacing="1" w:after="100" w:afterAutospacing="1"/>
        <w:jc w:val="center"/>
        <w:rPr>
          <w:b/>
          <w:color w:val="000000"/>
        </w:rPr>
      </w:pPr>
    </w:p>
    <w:p w:rsidR="00D2605D" w:rsidRDefault="00D2605D" w:rsidP="00D2605D">
      <w:pPr>
        <w:spacing w:before="100" w:beforeAutospacing="1" w:after="100" w:afterAutospacing="1"/>
        <w:jc w:val="center"/>
        <w:rPr>
          <w:b/>
          <w:color w:val="000000"/>
        </w:rPr>
      </w:pPr>
    </w:p>
    <w:p w:rsidR="00D2605D" w:rsidRPr="00CC6275" w:rsidRDefault="000F76D1" w:rsidP="00D2605D">
      <w:pPr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CC6275">
        <w:rPr>
          <w:b/>
          <w:noProof/>
          <w:color w:val="000000"/>
          <w:sz w:val="36"/>
          <w:szCs w:val="36"/>
        </w:rPr>
        <w:pict>
          <v:line id="_x0000_s1060" style="position:absolute;left:0;text-align:left;z-index:251657728" from="-117pt,26.4pt" to="270pt,26.4pt" strokecolor="#969696" strokeweight="1.5pt"/>
        </w:pict>
      </w:r>
      <w:r w:rsidR="00D2605D" w:rsidRPr="00CC6275">
        <w:rPr>
          <w:b/>
          <w:color w:val="000000"/>
          <w:sz w:val="36"/>
          <w:szCs w:val="36"/>
        </w:rPr>
        <w:t>INTRODUCCIÓN</w:t>
      </w:r>
    </w:p>
    <w:p w:rsidR="00D2605D" w:rsidRPr="00D2605D" w:rsidRDefault="00D2605D" w:rsidP="00D2605D">
      <w:pPr>
        <w:spacing w:before="100" w:beforeAutospacing="1" w:after="100" w:afterAutospacing="1"/>
        <w:rPr>
          <w:color w:val="000000"/>
        </w:rPr>
      </w:pPr>
      <w:r w:rsidRPr="00D2605D">
        <w:rPr>
          <w:color w:val="000000"/>
        </w:rPr>
        <w:t> </w:t>
      </w:r>
    </w:p>
    <w:p w:rsidR="00D2605D" w:rsidRPr="00D2605D" w:rsidRDefault="00D2605D" w:rsidP="00D2605D">
      <w:pPr>
        <w:spacing w:before="100" w:beforeAutospacing="1" w:after="100" w:afterAutospacing="1" w:line="480" w:lineRule="auto"/>
        <w:ind w:firstLine="1440"/>
        <w:jc w:val="both"/>
        <w:rPr>
          <w:rFonts w:ascii="Arial" w:hAnsi="Arial" w:cs="Arial"/>
          <w:color w:val="000000"/>
        </w:rPr>
      </w:pPr>
      <w:r w:rsidRPr="00D2605D">
        <w:rPr>
          <w:rFonts w:ascii="Arial" w:hAnsi="Arial" w:cs="Arial"/>
          <w:color w:val="000000"/>
        </w:rPr>
        <w:t xml:space="preserve">Por décadas, las instituciones de educación superior han discutido sobre cual es el mejor modelo, que teniendo en cuenta equidad y justicia social, les permita escoger a los graduados de la educación media  que deben  ingresar a dichas  instituciones, para que luego en sus aulas,  talleres, laboratorios e  interacciones conexas  se conviertan en los </w:t>
      </w:r>
      <w:proofErr w:type="gramStart"/>
      <w:r w:rsidRPr="00D2605D">
        <w:rPr>
          <w:rFonts w:ascii="Arial" w:hAnsi="Arial" w:cs="Arial"/>
          <w:color w:val="000000"/>
        </w:rPr>
        <w:t>profesionales</w:t>
      </w:r>
      <w:proofErr w:type="gramEnd"/>
      <w:r w:rsidRPr="00D2605D">
        <w:rPr>
          <w:rFonts w:ascii="Arial" w:hAnsi="Arial" w:cs="Arial"/>
          <w:color w:val="000000"/>
        </w:rPr>
        <w:t xml:space="preserve"> que deberán ser en el futuro, los motore</w:t>
      </w:r>
      <w:r w:rsidR="00FE58AE">
        <w:rPr>
          <w:rFonts w:ascii="Arial" w:hAnsi="Arial" w:cs="Arial"/>
          <w:color w:val="000000"/>
        </w:rPr>
        <w:t>s del desarrollo socioeconómico</w:t>
      </w:r>
      <w:r w:rsidRPr="00D2605D">
        <w:rPr>
          <w:rFonts w:ascii="Arial" w:hAnsi="Arial" w:cs="Arial"/>
          <w:color w:val="000000"/>
        </w:rPr>
        <w:t xml:space="preserve"> de sus correspondientes sociedades. </w:t>
      </w:r>
    </w:p>
    <w:p w:rsidR="00D2605D" w:rsidRPr="00D2605D" w:rsidRDefault="00D2605D" w:rsidP="00D2605D">
      <w:pPr>
        <w:spacing w:before="100" w:beforeAutospacing="1" w:after="100" w:afterAutospacing="1" w:line="480" w:lineRule="auto"/>
        <w:ind w:firstLine="1440"/>
        <w:jc w:val="both"/>
        <w:rPr>
          <w:rFonts w:ascii="Arial" w:hAnsi="Arial" w:cs="Arial"/>
          <w:color w:val="000000"/>
        </w:rPr>
      </w:pPr>
      <w:r w:rsidRPr="00D2605D">
        <w:rPr>
          <w:rFonts w:ascii="Arial" w:hAnsi="Arial" w:cs="Arial"/>
          <w:color w:val="000000"/>
        </w:rPr>
        <w:t>Algunos pugnan por el libre ingreso a las aulas universitarias, otros por un cúmul</w:t>
      </w:r>
      <w:r w:rsidR="002C1C41">
        <w:rPr>
          <w:rFonts w:ascii="Arial" w:hAnsi="Arial" w:cs="Arial"/>
          <w:color w:val="000000"/>
        </w:rPr>
        <w:t xml:space="preserve">o  de conocimientos, otros por </w:t>
      </w:r>
      <w:r w:rsidRPr="00D2605D">
        <w:rPr>
          <w:rFonts w:ascii="Arial" w:hAnsi="Arial" w:cs="Arial"/>
          <w:color w:val="000000"/>
        </w:rPr>
        <w:t>solo pruebas de aptitud escolásticas, también hay quienes propugnan, que basta el currículo colegial del postulante para que ingrese y también los hay quienes propugnan combinaciones de cada una de los requisitos previamente enunciados.</w:t>
      </w:r>
    </w:p>
    <w:p w:rsidR="00D2605D" w:rsidRPr="00D2605D" w:rsidRDefault="00D2605D" w:rsidP="00CC6275">
      <w:pPr>
        <w:spacing w:before="100" w:beforeAutospacing="1" w:after="100" w:afterAutospacing="1" w:line="480" w:lineRule="auto"/>
        <w:ind w:firstLine="1440"/>
        <w:jc w:val="both"/>
        <w:rPr>
          <w:rFonts w:ascii="Arial" w:hAnsi="Arial" w:cs="Arial"/>
          <w:color w:val="000000"/>
        </w:rPr>
      </w:pPr>
      <w:r w:rsidRPr="00D2605D">
        <w:rPr>
          <w:rFonts w:ascii="Arial" w:hAnsi="Arial" w:cs="Arial"/>
          <w:color w:val="000000"/>
        </w:rPr>
        <w:t xml:space="preserve"> En la superpotencia única que hoy existe en el mundo, las autoridades académicas o administrativas de sus universidades no necesitan </w:t>
      </w:r>
      <w:r w:rsidR="00CC6275">
        <w:rPr>
          <w:rFonts w:ascii="Arial" w:hAnsi="Arial" w:cs="Arial"/>
          <w:color w:val="000000"/>
        </w:rPr>
        <w:t xml:space="preserve"> </w:t>
      </w:r>
      <w:r w:rsidR="00CC6275" w:rsidRPr="00D2605D">
        <w:rPr>
          <w:rFonts w:ascii="Arial" w:hAnsi="Arial" w:cs="Arial"/>
          <w:color w:val="000000"/>
        </w:rPr>
        <w:t>siquiera “ver” a los postulantes a ingresar, les basta mirar el “score” que</w:t>
      </w:r>
      <w:r w:rsidR="00CC6275">
        <w:rPr>
          <w:rFonts w:ascii="Arial" w:hAnsi="Arial" w:cs="Arial"/>
          <w:color w:val="000000"/>
        </w:rPr>
        <w:t xml:space="preserve"> </w:t>
      </w:r>
      <w:r w:rsidRPr="00D2605D">
        <w:rPr>
          <w:rFonts w:ascii="Arial" w:hAnsi="Arial" w:cs="Arial"/>
          <w:color w:val="000000"/>
        </w:rPr>
        <w:t xml:space="preserve">obtienen en la prueba de aptitud escolática que ellos denominan SAT y además  revisa su oficina de ingreso cual fue el rendimiento académico del </w:t>
      </w:r>
      <w:r w:rsidRPr="00D2605D">
        <w:rPr>
          <w:rFonts w:ascii="Arial" w:hAnsi="Arial" w:cs="Arial"/>
          <w:color w:val="000000"/>
        </w:rPr>
        <w:lastRenderedPageBreak/>
        <w:t xml:space="preserve">estudiante en el colegio y en base a esta información deciden si el postulante es admitido.  Allá, igual que aquí la heterogeneidad de la educación básica y </w:t>
      </w:r>
      <w:r w:rsidRPr="00F867BD">
        <w:rPr>
          <w:rFonts w:ascii="Arial" w:hAnsi="Arial" w:cs="Arial"/>
          <w:color w:val="000000"/>
        </w:rPr>
        <w:t>secundaria</w:t>
      </w:r>
      <w:r w:rsidRPr="00D2605D">
        <w:rPr>
          <w:rFonts w:ascii="Arial" w:hAnsi="Arial" w:cs="Arial"/>
          <w:color w:val="000000"/>
        </w:rPr>
        <w:t>, no admite dudas.</w:t>
      </w:r>
    </w:p>
    <w:p w:rsidR="00D2605D" w:rsidRPr="00D2605D" w:rsidRDefault="00D2605D" w:rsidP="00D2605D">
      <w:pPr>
        <w:spacing w:before="100" w:beforeAutospacing="1" w:after="100" w:afterAutospacing="1" w:line="480" w:lineRule="auto"/>
        <w:ind w:firstLine="1440"/>
        <w:jc w:val="both"/>
        <w:rPr>
          <w:rFonts w:ascii="Arial" w:hAnsi="Arial" w:cs="Arial"/>
          <w:color w:val="000000"/>
        </w:rPr>
      </w:pPr>
      <w:r w:rsidRPr="00D2605D">
        <w:rPr>
          <w:rFonts w:ascii="Arial" w:hAnsi="Arial" w:cs="Arial"/>
          <w:color w:val="000000"/>
        </w:rPr>
        <w:t> </w:t>
      </w:r>
      <w:smartTag w:uri="urn:schemas-microsoft-com:office:smarttags" w:element="PersonName">
        <w:smartTagPr>
          <w:attr w:name="ProductID" w:val="La Escuela Superior"/>
        </w:smartTagPr>
        <w:r w:rsidRPr="00D2605D">
          <w:rPr>
            <w:rFonts w:ascii="Arial" w:hAnsi="Arial" w:cs="Arial"/>
            <w:color w:val="000000"/>
          </w:rPr>
          <w:t>La Escuela Superior</w:t>
        </w:r>
      </w:smartTag>
      <w:r w:rsidRPr="00D2605D">
        <w:rPr>
          <w:rFonts w:ascii="Arial" w:hAnsi="Arial" w:cs="Arial"/>
          <w:color w:val="000000"/>
        </w:rPr>
        <w:t xml:space="preserve"> Politécnica del Litoral, ESPOL, hasta hace menos de diez años solo permitía ingresar a los bachilleres por medio de pruebas de conocimientos. El declinar de su matrícula  hizo reflexionar  a esta institución sobre la posibilidad de ofrecer nuevas carreras y sobre todo revisar su sistema de admisión, llegándose a implantar desde 1999, una Prueba de Aptitud que ha permitido rescatar para ella algunas decenas de bachilleres .</w:t>
      </w:r>
    </w:p>
    <w:p w:rsidR="00D2605D" w:rsidRPr="00D2605D" w:rsidRDefault="00D2605D" w:rsidP="00D2605D">
      <w:pPr>
        <w:spacing w:before="100" w:beforeAutospacing="1" w:after="100" w:afterAutospacing="1" w:line="480" w:lineRule="auto"/>
        <w:ind w:firstLine="1440"/>
        <w:jc w:val="both"/>
        <w:rPr>
          <w:rFonts w:ascii="Arial" w:hAnsi="Arial" w:cs="Arial"/>
          <w:color w:val="000000"/>
        </w:rPr>
      </w:pPr>
      <w:r w:rsidRPr="00D2605D">
        <w:rPr>
          <w:rFonts w:ascii="Arial" w:hAnsi="Arial" w:cs="Arial"/>
          <w:color w:val="000000"/>
        </w:rPr>
        <w:t xml:space="preserve"> Esta tesis es una investigación sobre la implantación de este nuevo elemento en el sistema de admisión de ESPOL. </w:t>
      </w:r>
    </w:p>
    <w:p w:rsidR="00D2605D" w:rsidRDefault="00D2605D" w:rsidP="00D2605D">
      <w:pPr>
        <w:spacing w:before="100" w:beforeAutospacing="1" w:after="100" w:afterAutospacing="1" w:line="480" w:lineRule="auto"/>
        <w:ind w:firstLine="1440"/>
        <w:jc w:val="both"/>
        <w:rPr>
          <w:rFonts w:ascii="Arial" w:hAnsi="Arial" w:cs="Arial"/>
          <w:color w:val="000000"/>
        </w:rPr>
      </w:pPr>
      <w:r w:rsidRPr="00D2605D">
        <w:rPr>
          <w:rFonts w:ascii="Arial" w:hAnsi="Arial" w:cs="Arial"/>
          <w:color w:val="000000"/>
        </w:rPr>
        <w:t xml:space="preserve"> Con la subjetividad propia de la imperfección humana, pero con el rigor del Método Científico, tratamos el tema siguiendo en su vida académica, antes de ingresar a </w:t>
      </w:r>
      <w:smartTag w:uri="urn:schemas-microsoft-com:office:smarttags" w:element="PersonName">
        <w:smartTagPr>
          <w:attr w:name="ProductID" w:val="la ESPOL"/>
        </w:smartTagPr>
        <w:r w:rsidRPr="00D2605D">
          <w:rPr>
            <w:rFonts w:ascii="Arial" w:hAnsi="Arial" w:cs="Arial"/>
            <w:color w:val="000000"/>
          </w:rPr>
          <w:t>la ESPOL</w:t>
        </w:r>
      </w:smartTag>
      <w:r w:rsidRPr="00D2605D">
        <w:rPr>
          <w:rFonts w:ascii="Arial" w:hAnsi="Arial" w:cs="Arial"/>
          <w:color w:val="000000"/>
        </w:rPr>
        <w:t xml:space="preserve">, durante el proceso de admisión y luego dentro de </w:t>
      </w:r>
      <w:smartTag w:uri="urn:schemas-microsoft-com:office:smarttags" w:element="PersonName">
        <w:smartTagPr>
          <w:attr w:name="ProductID" w:val="la ESPOL"/>
        </w:smartTagPr>
        <w:r w:rsidRPr="00D2605D">
          <w:rPr>
            <w:rFonts w:ascii="Arial" w:hAnsi="Arial" w:cs="Arial"/>
            <w:color w:val="000000"/>
          </w:rPr>
          <w:t>la ESPOL</w:t>
        </w:r>
      </w:smartTag>
      <w:r w:rsidRPr="00D2605D">
        <w:rPr>
          <w:rFonts w:ascii="Arial" w:hAnsi="Arial" w:cs="Arial"/>
          <w:color w:val="000000"/>
        </w:rPr>
        <w:t>, a la primera cohorte de estudiantes con la que en 1999  funcionó el nuevo sistema.</w:t>
      </w:r>
    </w:p>
    <w:p w:rsidR="000F76D1" w:rsidRDefault="000F76D1" w:rsidP="00D2605D">
      <w:pPr>
        <w:spacing w:before="100" w:beforeAutospacing="1" w:after="100" w:afterAutospacing="1" w:line="480" w:lineRule="auto"/>
        <w:ind w:firstLine="1440"/>
        <w:jc w:val="both"/>
        <w:rPr>
          <w:rFonts w:ascii="Arial" w:hAnsi="Arial" w:cs="Arial"/>
          <w:color w:val="000000"/>
        </w:rPr>
      </w:pPr>
    </w:p>
    <w:p w:rsidR="000F76D1" w:rsidRDefault="00A42D33" w:rsidP="00D2605D">
      <w:pPr>
        <w:spacing w:before="100" w:beforeAutospacing="1" w:after="100" w:afterAutospacing="1" w:line="480" w:lineRule="auto"/>
        <w:ind w:firstLine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0F76D1" w:rsidRPr="00CC6275" w:rsidRDefault="000F76D1" w:rsidP="000F76D1">
      <w:pPr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CC6275">
        <w:rPr>
          <w:b/>
          <w:noProof/>
          <w:color w:val="000000"/>
          <w:sz w:val="36"/>
          <w:szCs w:val="36"/>
        </w:rPr>
        <w:pict>
          <v:line id="_x0000_s1061" style="position:absolute;left:0;text-align:left;z-index:251658752" from="-117pt,26.4pt" to="252pt,26.4pt" strokecolor="#969696" strokeweight="1.5pt"/>
        </w:pict>
      </w:r>
      <w:r w:rsidRPr="00CC6275">
        <w:rPr>
          <w:b/>
          <w:color w:val="000000"/>
          <w:sz w:val="36"/>
          <w:szCs w:val="36"/>
        </w:rPr>
        <w:t>RESUMEN</w:t>
      </w:r>
    </w:p>
    <w:p w:rsidR="000F76D1" w:rsidRPr="00D2605D" w:rsidRDefault="000F76D1" w:rsidP="000F76D1">
      <w:pPr>
        <w:spacing w:before="100" w:beforeAutospacing="1" w:after="100" w:afterAutospacing="1"/>
        <w:rPr>
          <w:color w:val="000000"/>
        </w:rPr>
      </w:pPr>
      <w:r w:rsidRPr="00D2605D">
        <w:rPr>
          <w:color w:val="000000"/>
        </w:rPr>
        <w:t> </w:t>
      </w:r>
    </w:p>
    <w:p w:rsidR="001462FE" w:rsidRDefault="001462FE" w:rsidP="00270F0A">
      <w:pPr>
        <w:spacing w:line="480" w:lineRule="auto"/>
        <w:ind w:firstLine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estudiar la </w:t>
      </w:r>
      <w:r w:rsidRPr="001462FE">
        <w:rPr>
          <w:rFonts w:ascii="Arial" w:hAnsi="Arial" w:cs="Arial"/>
          <w:i/>
          <w:color w:val="000000"/>
        </w:rPr>
        <w:t xml:space="preserve">Incidencia de la Prueba de Aptitud </w:t>
      </w:r>
      <w:r w:rsidR="00270F0A">
        <w:rPr>
          <w:rFonts w:ascii="Arial" w:hAnsi="Arial" w:cs="Arial"/>
          <w:i/>
          <w:color w:val="000000"/>
        </w:rPr>
        <w:t xml:space="preserve">Escolástica </w:t>
      </w:r>
      <w:r w:rsidRPr="001462FE">
        <w:rPr>
          <w:rFonts w:ascii="Arial" w:hAnsi="Arial" w:cs="Arial"/>
          <w:i/>
          <w:color w:val="000000"/>
        </w:rPr>
        <w:t xml:space="preserve">en </w:t>
      </w:r>
      <w:r>
        <w:rPr>
          <w:rFonts w:ascii="Arial" w:hAnsi="Arial" w:cs="Arial"/>
          <w:i/>
          <w:color w:val="000000"/>
        </w:rPr>
        <w:t>el Rendimiento Académico de los Estudiantes de Ingeniería de la ESPOL</w:t>
      </w:r>
      <w:r w:rsidR="00270F0A">
        <w:rPr>
          <w:rFonts w:ascii="Arial" w:hAnsi="Arial" w:cs="Arial"/>
          <w:color w:val="000000"/>
        </w:rPr>
        <w:t>, se han seleccionado, para analizar, algunas características inherentes a la cohorte de estudiantes que aprobaron el Primer Pre Politécnico de Ingeniería, dictado en el invierno de 1999 y matriculados en la Politécnica del Litoral en ese año, los cuales constituyen la población objetivo de esta investigación.</w:t>
      </w:r>
    </w:p>
    <w:p w:rsidR="00270F0A" w:rsidRPr="00F25C2F" w:rsidRDefault="00270F0A" w:rsidP="00270F0A">
      <w:pPr>
        <w:spacing w:line="480" w:lineRule="auto"/>
        <w:ind w:firstLine="1440"/>
        <w:jc w:val="both"/>
        <w:rPr>
          <w:rFonts w:ascii="Arial" w:hAnsi="Arial" w:cs="Arial"/>
          <w:color w:val="000000"/>
          <w:sz w:val="18"/>
          <w:szCs w:val="18"/>
        </w:rPr>
      </w:pPr>
    </w:p>
    <w:p w:rsidR="00FF16D5" w:rsidRDefault="00270F0A" w:rsidP="00270F0A">
      <w:pPr>
        <w:spacing w:line="480" w:lineRule="auto"/>
        <w:ind w:firstLine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Las características</w:t>
      </w:r>
      <w:r w:rsidR="00F25C2F">
        <w:rPr>
          <w:rFonts w:ascii="Arial" w:hAnsi="Arial" w:cs="Arial"/>
          <w:color w:val="000000"/>
        </w:rPr>
        <w:t xml:space="preserve"> seleccionadas permiten hacer un seguimiento del desempeño de los </w:t>
      </w:r>
      <w:r w:rsidR="00C90E63">
        <w:rPr>
          <w:rFonts w:ascii="Arial" w:hAnsi="Arial" w:cs="Arial"/>
          <w:color w:val="000000"/>
        </w:rPr>
        <w:t>miembro</w:t>
      </w:r>
      <w:r w:rsidR="00F25C2F">
        <w:rPr>
          <w:rFonts w:ascii="Arial" w:hAnsi="Arial" w:cs="Arial"/>
          <w:color w:val="000000"/>
        </w:rPr>
        <w:t xml:space="preserve">s de la población objetivo a través de sus años de colegio, en  el período de admisión a </w:t>
      </w:r>
      <w:smartTag w:uri="urn:schemas-microsoft-com:office:smarttags" w:element="PersonName">
        <w:smartTagPr>
          <w:attr w:name="ProductID" w:val="la Politécnica"/>
        </w:smartTagPr>
        <w:r w:rsidR="00F25C2F">
          <w:rPr>
            <w:rFonts w:ascii="Arial" w:hAnsi="Arial" w:cs="Arial"/>
            <w:color w:val="000000"/>
          </w:rPr>
          <w:t>la Politécnica</w:t>
        </w:r>
      </w:smartTag>
      <w:r w:rsidR="00F25C2F">
        <w:rPr>
          <w:rFonts w:ascii="Arial" w:hAnsi="Arial" w:cs="Arial"/>
          <w:color w:val="000000"/>
        </w:rPr>
        <w:t xml:space="preserve"> del Litoral, y luego ya como etudiantes de esta institución de educación superior. </w:t>
      </w:r>
      <w:r w:rsidR="005B1587">
        <w:rPr>
          <w:rFonts w:ascii="Arial" w:hAnsi="Arial" w:cs="Arial"/>
          <w:color w:val="000000"/>
        </w:rPr>
        <w:t>El</w:t>
      </w:r>
      <w:r w:rsidR="00F25C2F">
        <w:rPr>
          <w:rFonts w:ascii="Arial" w:hAnsi="Arial" w:cs="Arial"/>
          <w:color w:val="000000"/>
        </w:rPr>
        <w:t xml:space="preserve"> Gráfico A.1 </w:t>
      </w:r>
      <w:r w:rsidR="00224C94">
        <w:rPr>
          <w:rFonts w:ascii="Arial" w:hAnsi="Arial" w:cs="Arial"/>
          <w:color w:val="000000"/>
        </w:rPr>
        <w:t xml:space="preserve">muestra los conglomerados de las principales variables </w:t>
      </w:r>
      <w:r w:rsidR="005B1587">
        <w:rPr>
          <w:rFonts w:ascii="Arial" w:hAnsi="Arial" w:cs="Arial"/>
          <w:color w:val="000000"/>
        </w:rPr>
        <w:t>alrededor de la</w:t>
      </w:r>
      <w:r w:rsidR="00224C94">
        <w:rPr>
          <w:rFonts w:ascii="Arial" w:hAnsi="Arial" w:cs="Arial"/>
          <w:color w:val="000000"/>
        </w:rPr>
        <w:t>s</w:t>
      </w:r>
      <w:r w:rsidR="005B1587">
        <w:rPr>
          <w:rFonts w:ascii="Arial" w:hAnsi="Arial" w:cs="Arial"/>
          <w:color w:val="000000"/>
        </w:rPr>
        <w:t xml:space="preserve"> cual</w:t>
      </w:r>
      <w:r w:rsidR="00224C94">
        <w:rPr>
          <w:rFonts w:ascii="Arial" w:hAnsi="Arial" w:cs="Arial"/>
          <w:color w:val="000000"/>
        </w:rPr>
        <w:t>es</w:t>
      </w:r>
      <w:r w:rsidR="005B1587">
        <w:rPr>
          <w:rFonts w:ascii="Arial" w:hAnsi="Arial" w:cs="Arial"/>
          <w:color w:val="000000"/>
        </w:rPr>
        <w:t xml:space="preserve"> se desarrolla esta investigación, </w:t>
      </w:r>
      <w:r w:rsidR="00224C94">
        <w:rPr>
          <w:rFonts w:ascii="Arial" w:hAnsi="Arial" w:cs="Arial"/>
          <w:color w:val="000000"/>
        </w:rPr>
        <w:t>donde cada uno es una etapa bien diferenciada en la vida estudiantil de la población objetivo</w:t>
      </w:r>
      <w:r w:rsidR="00FF16D5">
        <w:rPr>
          <w:rFonts w:ascii="Arial" w:hAnsi="Arial" w:cs="Arial"/>
          <w:color w:val="000000"/>
        </w:rPr>
        <w:t xml:space="preserve">; el </w:t>
      </w:r>
      <w:r w:rsidR="00FF16D5" w:rsidRPr="00FF16D5">
        <w:rPr>
          <w:rFonts w:ascii="Arial" w:hAnsi="Arial" w:cs="Arial"/>
          <w:i/>
          <w:color w:val="000000"/>
        </w:rPr>
        <w:t>Colegio</w:t>
      </w:r>
      <w:r w:rsidR="00FF16D5">
        <w:rPr>
          <w:rFonts w:ascii="Arial" w:hAnsi="Arial" w:cs="Arial"/>
          <w:color w:val="000000"/>
        </w:rPr>
        <w:t xml:space="preserve">, que es la etapa que ha resultado “fácil” para ellos, el </w:t>
      </w:r>
      <w:r w:rsidR="00FF16D5" w:rsidRPr="00FF16D5">
        <w:rPr>
          <w:rFonts w:ascii="Arial" w:hAnsi="Arial" w:cs="Arial"/>
          <w:i/>
          <w:color w:val="000000"/>
        </w:rPr>
        <w:t>Pre Politécnico</w:t>
      </w:r>
      <w:r w:rsidR="00FF16D5">
        <w:rPr>
          <w:rFonts w:ascii="Arial" w:hAnsi="Arial" w:cs="Arial"/>
          <w:color w:val="000000"/>
        </w:rPr>
        <w:t xml:space="preserve">, que es la periodo más “difícil” de su vida estudiantil y su vida en </w:t>
      </w:r>
      <w:smartTag w:uri="urn:schemas-microsoft-com:office:smarttags" w:element="PersonName">
        <w:smartTagPr>
          <w:attr w:name="ProductID" w:val="la ESPOL"/>
        </w:smartTagPr>
        <w:r w:rsidR="00FF16D5">
          <w:rPr>
            <w:rFonts w:ascii="Arial" w:hAnsi="Arial" w:cs="Arial"/>
            <w:color w:val="000000"/>
          </w:rPr>
          <w:t xml:space="preserve">la </w:t>
        </w:r>
        <w:r w:rsidR="00FF16D5" w:rsidRPr="00FF16D5">
          <w:rPr>
            <w:rFonts w:ascii="Arial" w:hAnsi="Arial" w:cs="Arial"/>
            <w:i/>
            <w:color w:val="000000"/>
          </w:rPr>
          <w:t>ESPOL</w:t>
        </w:r>
      </w:smartTag>
      <w:r w:rsidR="00FF16D5">
        <w:rPr>
          <w:rFonts w:ascii="Arial" w:hAnsi="Arial" w:cs="Arial"/>
          <w:color w:val="000000"/>
        </w:rPr>
        <w:t xml:space="preserve">, que, aunque no les ha resultado “fácil” como el </w:t>
      </w:r>
      <w:r w:rsidR="00FF16D5" w:rsidRPr="00FF16D5">
        <w:rPr>
          <w:rFonts w:ascii="Arial" w:hAnsi="Arial" w:cs="Arial"/>
          <w:i/>
          <w:color w:val="000000"/>
        </w:rPr>
        <w:t>Colegio</w:t>
      </w:r>
      <w:r w:rsidR="00C90E63">
        <w:rPr>
          <w:rFonts w:ascii="Arial" w:hAnsi="Arial" w:cs="Arial"/>
          <w:i/>
          <w:color w:val="000000"/>
        </w:rPr>
        <w:t>,</w:t>
      </w:r>
      <w:r w:rsidR="00FF16D5">
        <w:rPr>
          <w:rFonts w:ascii="Arial" w:hAnsi="Arial" w:cs="Arial"/>
          <w:color w:val="000000"/>
        </w:rPr>
        <w:t xml:space="preserve"> sí ha sido para ellos menos “difícil” que el Pre Polit</w:t>
      </w:r>
      <w:r w:rsidR="000E01A6">
        <w:rPr>
          <w:rFonts w:ascii="Arial" w:hAnsi="Arial" w:cs="Arial"/>
          <w:color w:val="000000"/>
        </w:rPr>
        <w:t xml:space="preserve">écnico. </w:t>
      </w:r>
      <w:smartTag w:uri="urn:schemas-microsoft-com:office:smarttags" w:element="PersonName">
        <w:smartTagPr>
          <w:attr w:name="ProductID" w:val="La Aptitud Escolástica"/>
        </w:smartTagPr>
        <w:r w:rsidR="000E01A6">
          <w:rPr>
            <w:rFonts w:ascii="Arial" w:hAnsi="Arial" w:cs="Arial"/>
            <w:color w:val="000000"/>
          </w:rPr>
          <w:t>La Aptitud Escolástica</w:t>
        </w:r>
      </w:smartTag>
      <w:r w:rsidR="000E01A6">
        <w:rPr>
          <w:rFonts w:ascii="Arial" w:hAnsi="Arial" w:cs="Arial"/>
          <w:color w:val="000000"/>
        </w:rPr>
        <w:t xml:space="preserve"> de los </w:t>
      </w:r>
      <w:r w:rsidR="000E01A6">
        <w:rPr>
          <w:rFonts w:ascii="Arial" w:hAnsi="Arial" w:cs="Arial"/>
          <w:color w:val="000000"/>
        </w:rPr>
        <w:lastRenderedPageBreak/>
        <w:t>estudiantes investigados es un “mundo aparte” que no se refleja en su desempeño en alguna de las etapas identificadas,</w:t>
      </w:r>
    </w:p>
    <w:p w:rsidR="00270F0A" w:rsidRPr="00A42D33" w:rsidRDefault="00270F0A" w:rsidP="00270F0A">
      <w:pPr>
        <w:spacing w:line="480" w:lineRule="auto"/>
        <w:ind w:firstLine="1440"/>
        <w:jc w:val="both"/>
        <w:rPr>
          <w:rFonts w:ascii="Arial" w:hAnsi="Arial" w:cs="Arial"/>
          <w:color w:val="000000"/>
          <w:sz w:val="12"/>
          <w:szCs w:val="12"/>
        </w:rPr>
      </w:pPr>
    </w:p>
    <w:p w:rsidR="00B92F5F" w:rsidRPr="00CC6275" w:rsidRDefault="00DA45B8" w:rsidP="00DA45B8">
      <w:pPr>
        <w:jc w:val="center"/>
        <w:rPr>
          <w:b/>
          <w:sz w:val="22"/>
          <w:szCs w:val="22"/>
        </w:rPr>
      </w:pPr>
      <w:r w:rsidRPr="00CC6275">
        <w:rPr>
          <w:b/>
          <w:sz w:val="22"/>
          <w:szCs w:val="22"/>
        </w:rPr>
        <w:t>Gráfico A.1</w:t>
      </w:r>
    </w:p>
    <w:p w:rsidR="00DA45B8" w:rsidRDefault="00DA45B8" w:rsidP="00DA45B8">
      <w:pPr>
        <w:jc w:val="center"/>
        <w:rPr>
          <w:rFonts w:ascii="Georgia" w:hAnsi="Georgia"/>
          <w:b/>
          <w:sz w:val="18"/>
          <w:szCs w:val="18"/>
        </w:rPr>
      </w:pPr>
      <w:r w:rsidRPr="00CC6275">
        <w:rPr>
          <w:rFonts w:ascii="Georgia" w:hAnsi="Georgia"/>
          <w:b/>
          <w:sz w:val="18"/>
          <w:szCs w:val="18"/>
        </w:rPr>
        <w:t>Variables que Miden el</w:t>
      </w:r>
      <w:r w:rsidR="00D32121">
        <w:rPr>
          <w:rFonts w:ascii="Georgia" w:hAnsi="Georgia"/>
          <w:b/>
          <w:sz w:val="18"/>
          <w:szCs w:val="18"/>
        </w:rPr>
        <w:t xml:space="preserve"> </w:t>
      </w:r>
      <w:r w:rsidR="00224C94" w:rsidRPr="00CC6275">
        <w:rPr>
          <w:b/>
          <w:noProof/>
          <w:sz w:val="22"/>
          <w:szCs w:val="22"/>
        </w:rPr>
        <w:pict>
          <v:group id="_x0000_s1057" style="position:absolute;left:0;text-align:left;margin-left:-9pt;margin-top:1.65pt;width:414pt;height:268.5pt;z-index:-251659776;mso-position-horizontal-relative:text;mso-position-vertical-relative:text" coordorigin="2268,9531" coordsize="8280,5370">
            <v:group id="_x0000_s1033" style="position:absolute;left:2508;top:9531;width:8040;height:5010" coordorigin="2508,8893" coordsize="8040,5010" o:regroupid="1">
              <v:group id="_x0000_s1034" style="position:absolute;left:2508;top:8893;width:8040;height:5010" coordorigin="2508,6655" coordsize="8040,5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2508;top:6655;width:8040;height:5010">
                  <v:imagedata r:id="rId4" o:title=""/>
                </v:shape>
                <v:line id="_x0000_s1036" style="position:absolute" from="2988,8401" to="10308,8401" strokecolor="#969696">
                  <v:stroke dashstyle="dash"/>
                </v:line>
                <v:line id="_x0000_s1037" style="position:absolute" from="2988,10435" to="10308,10435" strokecolor="#969696">
                  <v:stroke dashstyle="dash"/>
                </v:line>
              </v:group>
              <v:oval id="_x0000_s1038" style="position:absolute;left:4806;top:10255;width:102;height:102" fillcolor="navy" strokecolor="navy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5748;top:14361;width:1920;height:540" o:regroupid="1" filled="f" stroked="f">
              <v:textbox style="mso-next-textbox:#_x0000_s1044">
                <w:txbxContent>
                  <w:p w:rsidR="000F76D1" w:rsidRPr="00A16021" w:rsidRDefault="000F76D1" w:rsidP="000F76D1">
                    <w:pPr>
                      <w:spacing w:before="80"/>
                      <w:jc w:val="center"/>
                      <w:rPr>
                        <w:sz w:val="12"/>
                        <w:szCs w:val="12"/>
                      </w:rPr>
                    </w:pPr>
                    <w:r w:rsidRPr="00A16021">
                      <w:rPr>
                        <w:sz w:val="12"/>
                        <w:szCs w:val="12"/>
                      </w:rPr>
                      <w:t>Media</w:t>
                    </w:r>
                  </w:p>
                </w:txbxContent>
              </v:textbox>
            </v:shape>
            <v:shape id="_x0000_s1045" type="#_x0000_t202" style="position:absolute;left:2268;top:10335;width:600;height:2880" o:regroupid="1" filled="f" stroked="f">
              <v:textbox style="layout-flow:vertical;mso-layout-flow-alt:bottom-to-top;mso-next-textbox:#_x0000_s1045">
                <w:txbxContent>
                  <w:p w:rsidR="000F76D1" w:rsidRPr="00A16021" w:rsidRDefault="000F76D1" w:rsidP="000F76D1">
                    <w:pPr>
                      <w:spacing w:before="120"/>
                      <w:jc w:val="center"/>
                      <w:rPr>
                        <w:sz w:val="12"/>
                        <w:szCs w:val="12"/>
                      </w:rPr>
                    </w:pPr>
                    <w:r w:rsidRPr="00A16021">
                      <w:rPr>
                        <w:sz w:val="12"/>
                        <w:szCs w:val="12"/>
                      </w:rPr>
                      <w:t>Dispersión</w:t>
                    </w:r>
                  </w:p>
                </w:txbxContent>
              </v:textbox>
            </v:shape>
            <v:oval id="_x0000_s1046" style="position:absolute;left:7558;top:12201;width:2760;height:1340" o:regroupid="1" filled="f"/>
            <v:oval id="_x0000_s1047" style="position:absolute;left:2868;top:11841;width:2280;height:1440" o:regroupid="1" filled="f"/>
            <v:oval id="_x0000_s1048" style="position:absolute;left:4668;top:13101;width:1680;height:540" o:regroupid="1" filled="f"/>
            <v:oval id="_x0000_s1049" style="position:absolute;left:4668;top:10581;width:1080;height:720" o:regroupid="1" filled="f"/>
            <v:shape id="_x0000_s1050" type="#_x0000_t202" style="position:absolute;left:4788;top:10269;width:1080;height:360" o:regroupid="1" filled="f" stroked="f">
              <v:textbox style="mso-next-textbox:#_x0000_s1050">
                <w:txbxContent>
                  <w:p w:rsidR="000F76D1" w:rsidRPr="00463183" w:rsidRDefault="000F76D1" w:rsidP="000F76D1">
                    <w:pPr>
                      <w:rPr>
                        <w:i/>
                        <w:sz w:val="14"/>
                        <w:szCs w:val="14"/>
                      </w:rPr>
                    </w:pPr>
                    <w:r w:rsidRPr="00463183">
                      <w:rPr>
                        <w:i/>
                        <w:sz w:val="14"/>
                        <w:szCs w:val="14"/>
                      </w:rPr>
                      <w:t>APTITUD</w:t>
                    </w:r>
                  </w:p>
                </w:txbxContent>
              </v:textbox>
            </v:shape>
            <v:shape id="_x0000_s1051" type="#_x0000_t202" style="position:absolute;left:3228;top:11529;width:1800;height:360" o:regroupid="1" filled="f" stroked="f">
              <v:textbox style="mso-next-textbox:#_x0000_s1051">
                <w:txbxContent>
                  <w:p w:rsidR="000F76D1" w:rsidRPr="00463183" w:rsidRDefault="000F76D1" w:rsidP="000F76D1">
                    <w:pPr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 w:rsidRPr="00463183">
                      <w:rPr>
                        <w:i/>
                        <w:sz w:val="14"/>
                        <w:szCs w:val="14"/>
                      </w:rPr>
                      <w:t>PRE POLITÉCNICO</w:t>
                    </w:r>
                  </w:p>
                </w:txbxContent>
              </v:textbox>
            </v:shape>
            <v:shape id="_x0000_s1052" type="#_x0000_t202" style="position:absolute;left:8148;top:11889;width:1440;height:360" o:regroupid="1" filled="f" stroked="f">
              <v:textbox style="mso-next-textbox:#_x0000_s1052">
                <w:txbxContent>
                  <w:p w:rsidR="000F76D1" w:rsidRPr="00463183" w:rsidRDefault="000F76D1" w:rsidP="000F76D1">
                    <w:pPr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 w:rsidRPr="00463183">
                      <w:rPr>
                        <w:i/>
                        <w:sz w:val="14"/>
                        <w:szCs w:val="14"/>
                      </w:rPr>
                      <w:t>COLEGIO</w:t>
                    </w:r>
                  </w:p>
                </w:txbxContent>
              </v:textbox>
            </v:shape>
            <v:shape id="_x0000_s1053" type="#_x0000_t202" style="position:absolute;left:4908;top:12789;width:1320;height:360" o:regroupid="1" filled="f" stroked="f">
              <v:textbox style="mso-next-textbox:#_x0000_s1053">
                <w:txbxContent>
                  <w:p w:rsidR="000F76D1" w:rsidRPr="00463183" w:rsidRDefault="000F76D1" w:rsidP="000F76D1">
                    <w:pPr>
                      <w:spacing w:before="60"/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 w:rsidRPr="00463183">
                      <w:rPr>
                        <w:i/>
                        <w:sz w:val="14"/>
                        <w:szCs w:val="14"/>
                      </w:rPr>
                      <w:t>ESPOL</w:t>
                    </w:r>
                  </w:p>
                </w:txbxContent>
              </v:textbox>
            </v:shape>
            <v:shape id="_x0000_s1054" type="#_x0000_t202" style="position:absolute;left:7548;top:9843;width:2640;height:360" o:regroupid="1" filled="f" stroked="f">
              <v:textbox style="mso-next-textbox:#_x0000_s1054">
                <w:txbxContent>
                  <w:p w:rsidR="000F76D1" w:rsidRPr="002D12E8" w:rsidRDefault="000F76D1" w:rsidP="000F76D1">
                    <w:pPr>
                      <w:jc w:val="right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ZONA DE ALTA DISPERSIÓN</w:t>
                    </w:r>
                  </w:p>
                </w:txbxContent>
              </v:textbox>
            </v:shape>
            <v:shape id="_x0000_s1055" type="#_x0000_t202" style="position:absolute;left:8028;top:11349;width:2280;height:360" o:regroupid="1" filled="f" stroked="f">
              <v:textbox style="mso-next-textbox:#_x0000_s1055">
                <w:txbxContent>
                  <w:p w:rsidR="000F76D1" w:rsidRPr="002D12E8" w:rsidRDefault="000F76D1" w:rsidP="000F76D1">
                    <w:pPr>
                      <w:jc w:val="right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ZONA DISPERSIÓN MEDIA</w:t>
                    </w:r>
                  </w:p>
                </w:txbxContent>
              </v:textbox>
            </v:shape>
            <v:shape id="_x0000_s1056" type="#_x0000_t202" style="position:absolute;left:7908;top:13689;width:2280;height:360" o:regroupid="1" filled="f" stroked="f">
              <v:textbox style="mso-next-textbox:#_x0000_s1056">
                <w:txbxContent>
                  <w:p w:rsidR="000F76D1" w:rsidRPr="002D12E8" w:rsidRDefault="000F76D1" w:rsidP="000F76D1">
                    <w:pPr>
                      <w:jc w:val="right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ZONA DE DISPERSIÓN BAJA</w:t>
                    </w:r>
                  </w:p>
                </w:txbxContent>
              </v:textbox>
            </v:shape>
          </v:group>
        </w:pict>
      </w:r>
      <w:r w:rsidRPr="00CC6275">
        <w:rPr>
          <w:rFonts w:ascii="Georgia" w:hAnsi="Georgia"/>
          <w:b/>
          <w:sz w:val="18"/>
          <w:szCs w:val="18"/>
        </w:rPr>
        <w:t>Desempeño Académico de los Estudiantes Investigados</w:t>
      </w: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Default="00FF16D5" w:rsidP="00DA45B8">
      <w:pPr>
        <w:jc w:val="center"/>
        <w:rPr>
          <w:rFonts w:ascii="Georgia" w:hAnsi="Georgia"/>
          <w:b/>
          <w:sz w:val="18"/>
          <w:szCs w:val="18"/>
        </w:rPr>
      </w:pPr>
    </w:p>
    <w:p w:rsidR="00FF16D5" w:rsidRPr="00A42D33" w:rsidRDefault="00FF16D5" w:rsidP="00DA45B8">
      <w:pPr>
        <w:jc w:val="center"/>
        <w:rPr>
          <w:rFonts w:ascii="Georgia" w:hAnsi="Georgia"/>
          <w:b/>
          <w:sz w:val="14"/>
          <w:szCs w:val="14"/>
        </w:rPr>
      </w:pPr>
    </w:p>
    <w:p w:rsidR="00FF16D5" w:rsidRPr="00CC6275" w:rsidRDefault="000E01A6" w:rsidP="00A42D33">
      <w:pPr>
        <w:spacing w:line="468" w:lineRule="auto"/>
        <w:ind w:firstLine="1440"/>
        <w:jc w:val="both"/>
        <w:rPr>
          <w:rFonts w:ascii="Georgia" w:hAnsi="Georgia"/>
          <w:b/>
          <w:sz w:val="18"/>
          <w:szCs w:val="18"/>
        </w:rPr>
      </w:pPr>
      <w:r>
        <w:rPr>
          <w:rFonts w:ascii="Arial" w:hAnsi="Arial" w:cs="Arial"/>
          <w:color w:val="000000"/>
        </w:rPr>
        <w:t>Hay varias secciones en los capítulos tercero y cuarto dedicadas principalmente al estudio de las variables del</w:t>
      </w:r>
      <w:r w:rsidRPr="000E01A6">
        <w:rPr>
          <w:rFonts w:ascii="Arial" w:hAnsi="Arial" w:cs="Arial"/>
          <w:i/>
          <w:color w:val="000000"/>
        </w:rPr>
        <w:t xml:space="preserve"> Desempeño </w:t>
      </w:r>
      <w:r>
        <w:rPr>
          <w:rFonts w:ascii="Arial" w:hAnsi="Arial" w:cs="Arial"/>
          <w:color w:val="000000"/>
        </w:rPr>
        <w:t xml:space="preserve">y de </w:t>
      </w:r>
      <w:smartTag w:uri="urn:schemas-microsoft-com:office:smarttags" w:element="PersonName">
        <w:smartTagPr>
          <w:attr w:name="ProductID" w:val="la Aptitud Escol￡stica"/>
        </w:smartTagPr>
        <w:r>
          <w:rPr>
            <w:rFonts w:ascii="Arial" w:hAnsi="Arial" w:cs="Arial"/>
            <w:color w:val="000000"/>
          </w:rPr>
          <w:t xml:space="preserve">la </w:t>
        </w:r>
        <w:r w:rsidRPr="000E01A6">
          <w:rPr>
            <w:rFonts w:ascii="Arial" w:hAnsi="Arial" w:cs="Arial"/>
            <w:i/>
            <w:color w:val="000000"/>
          </w:rPr>
          <w:t>Aptitud Escolástica</w:t>
        </w:r>
      </w:smartTag>
      <w:r>
        <w:rPr>
          <w:rFonts w:ascii="Arial" w:hAnsi="Arial" w:cs="Arial"/>
          <w:color w:val="000000"/>
        </w:rPr>
        <w:t xml:space="preserve"> de los estudiantes, pero también se incluye una sección respecto a las proporciones de estudiantes registrados, que dan una idea de la  deserción de la cohorte investi</w:t>
      </w:r>
      <w:r w:rsidR="00260996">
        <w:rPr>
          <w:rFonts w:ascii="Arial" w:hAnsi="Arial" w:cs="Arial"/>
          <w:color w:val="000000"/>
        </w:rPr>
        <w:t>gada. E</w:t>
      </w:r>
      <w:r>
        <w:rPr>
          <w:rFonts w:ascii="Arial" w:hAnsi="Arial" w:cs="Arial"/>
          <w:color w:val="000000"/>
        </w:rPr>
        <w:t xml:space="preserve">l Capítulo 1 </w:t>
      </w:r>
      <w:r w:rsidR="00AC23BD">
        <w:rPr>
          <w:rFonts w:ascii="Arial" w:hAnsi="Arial" w:cs="Arial"/>
          <w:color w:val="000000"/>
        </w:rPr>
        <w:t>contiene</w:t>
      </w:r>
      <w:r>
        <w:rPr>
          <w:rFonts w:ascii="Arial" w:hAnsi="Arial" w:cs="Arial"/>
          <w:color w:val="000000"/>
        </w:rPr>
        <w:t xml:space="preserve"> </w:t>
      </w:r>
      <w:r w:rsidR="00AC23BD">
        <w:rPr>
          <w:rFonts w:ascii="Arial" w:hAnsi="Arial" w:cs="Arial"/>
          <w:color w:val="000000"/>
        </w:rPr>
        <w:t xml:space="preserve">un resumen del </w:t>
      </w:r>
      <w:r w:rsidR="00260996">
        <w:rPr>
          <w:rFonts w:ascii="Arial" w:hAnsi="Arial" w:cs="Arial"/>
          <w:color w:val="000000"/>
        </w:rPr>
        <w:t xml:space="preserve">funcionamiento del </w:t>
      </w:r>
      <w:r w:rsidR="00AC23BD">
        <w:rPr>
          <w:rFonts w:ascii="Arial" w:hAnsi="Arial" w:cs="Arial"/>
          <w:color w:val="000000"/>
        </w:rPr>
        <w:t>sistema de ingreso</w:t>
      </w:r>
      <w:r w:rsidR="00260996">
        <w:rPr>
          <w:rFonts w:ascii="Arial" w:hAnsi="Arial" w:cs="Arial"/>
          <w:color w:val="000000"/>
        </w:rPr>
        <w:t xml:space="preserve"> a Ingeniería</w:t>
      </w:r>
      <w:r w:rsidR="00AC23BD">
        <w:rPr>
          <w:rFonts w:ascii="Arial" w:hAnsi="Arial" w:cs="Arial"/>
          <w:color w:val="000000"/>
        </w:rPr>
        <w:t xml:space="preserve"> de </w:t>
      </w:r>
      <w:smartTag w:uri="urn:schemas-microsoft-com:office:smarttags" w:element="PersonName">
        <w:smartTagPr>
          <w:attr w:name="ProductID" w:val="la Polit￩cnica"/>
        </w:smartTagPr>
        <w:r w:rsidR="00AC23BD">
          <w:rPr>
            <w:rFonts w:ascii="Arial" w:hAnsi="Arial" w:cs="Arial"/>
            <w:color w:val="000000"/>
          </w:rPr>
          <w:t>la Politécnica</w:t>
        </w:r>
      </w:smartTag>
      <w:r w:rsidR="00AC23BD">
        <w:rPr>
          <w:rFonts w:ascii="Arial" w:hAnsi="Arial" w:cs="Arial"/>
          <w:color w:val="000000"/>
        </w:rPr>
        <w:t xml:space="preserve"> del Litoral además de la descripción de las pruebas de aptitud tanto de </w:t>
      </w:r>
      <w:smartTag w:uri="urn:schemas-microsoft-com:office:smarttags" w:element="PersonName">
        <w:smartTagPr>
          <w:attr w:name="ProductID" w:val="la ESPOL"/>
        </w:smartTagPr>
        <w:r w:rsidR="00AC23BD">
          <w:rPr>
            <w:rFonts w:ascii="Arial" w:hAnsi="Arial" w:cs="Arial"/>
            <w:color w:val="000000"/>
          </w:rPr>
          <w:t>la ESPOL</w:t>
        </w:r>
      </w:smartTag>
      <w:r w:rsidR="00AC23BD">
        <w:rPr>
          <w:rFonts w:ascii="Arial" w:hAnsi="Arial" w:cs="Arial"/>
          <w:color w:val="000000"/>
        </w:rPr>
        <w:t xml:space="preserve"> como de las utilizadas de forma estándar en universidades de Estados Unidos</w:t>
      </w:r>
      <w:r w:rsidR="00D32121">
        <w:rPr>
          <w:rFonts w:ascii="Arial" w:hAnsi="Arial" w:cs="Arial"/>
          <w:color w:val="000000"/>
        </w:rPr>
        <w:t>. En el Capítulo 2 se</w:t>
      </w:r>
      <w:r w:rsidR="00B63F1C">
        <w:rPr>
          <w:rFonts w:ascii="Arial" w:hAnsi="Arial" w:cs="Arial"/>
          <w:color w:val="000000"/>
        </w:rPr>
        <w:t xml:space="preserve"> da información técnica </w:t>
      </w:r>
      <w:r w:rsidR="00A42D33">
        <w:rPr>
          <w:rFonts w:ascii="Arial" w:hAnsi="Arial" w:cs="Arial"/>
          <w:color w:val="000000"/>
        </w:rPr>
        <w:t>acerca de l</w:t>
      </w:r>
      <w:r w:rsidR="00C855B7">
        <w:rPr>
          <w:rFonts w:ascii="Arial" w:hAnsi="Arial" w:cs="Arial"/>
          <w:color w:val="000000"/>
        </w:rPr>
        <w:t>os insumos para la</w:t>
      </w:r>
      <w:r w:rsidR="003E4E8C">
        <w:rPr>
          <w:rFonts w:ascii="Arial" w:hAnsi="Arial" w:cs="Arial"/>
          <w:color w:val="000000"/>
        </w:rPr>
        <w:t xml:space="preserve"> realizaci</w:t>
      </w:r>
      <w:r w:rsidR="00D3330D">
        <w:rPr>
          <w:rFonts w:ascii="Arial" w:hAnsi="Arial" w:cs="Arial"/>
          <w:color w:val="000000"/>
        </w:rPr>
        <w:t xml:space="preserve">ón de </w:t>
      </w:r>
      <w:r w:rsidR="00C855B7">
        <w:rPr>
          <w:rFonts w:ascii="Arial" w:hAnsi="Arial" w:cs="Arial"/>
          <w:color w:val="000000"/>
        </w:rPr>
        <w:t xml:space="preserve">esta </w:t>
      </w:r>
      <w:r w:rsidR="00D3330D">
        <w:rPr>
          <w:rFonts w:ascii="Arial" w:hAnsi="Arial" w:cs="Arial"/>
          <w:color w:val="000000"/>
        </w:rPr>
        <w:t>investigación</w:t>
      </w:r>
      <w:r w:rsidR="003E4E8C">
        <w:rPr>
          <w:rFonts w:ascii="Arial" w:hAnsi="Arial" w:cs="Arial"/>
          <w:color w:val="000000"/>
        </w:rPr>
        <w:t>.</w:t>
      </w:r>
    </w:p>
    <w:sectPr w:rsidR="00FF16D5" w:rsidRPr="00CC6275" w:rsidSect="00A42D33">
      <w:pgSz w:w="11906" w:h="16838"/>
      <w:pgMar w:top="2155" w:right="1361" w:bottom="2155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2605D"/>
    <w:rsid w:val="000A59F1"/>
    <w:rsid w:val="000E01A6"/>
    <w:rsid w:val="000F76D1"/>
    <w:rsid w:val="001462FE"/>
    <w:rsid w:val="00224C94"/>
    <w:rsid w:val="00260996"/>
    <w:rsid w:val="00270F0A"/>
    <w:rsid w:val="002C1C41"/>
    <w:rsid w:val="002E0FB7"/>
    <w:rsid w:val="003E4E8C"/>
    <w:rsid w:val="005B1587"/>
    <w:rsid w:val="006D4551"/>
    <w:rsid w:val="007A5926"/>
    <w:rsid w:val="00821F96"/>
    <w:rsid w:val="00935CD9"/>
    <w:rsid w:val="00A17DA4"/>
    <w:rsid w:val="00A23173"/>
    <w:rsid w:val="00A42D33"/>
    <w:rsid w:val="00AC23BD"/>
    <w:rsid w:val="00B63F1C"/>
    <w:rsid w:val="00B92F5F"/>
    <w:rsid w:val="00C2437F"/>
    <w:rsid w:val="00C855B7"/>
    <w:rsid w:val="00C90E63"/>
    <w:rsid w:val="00CC6275"/>
    <w:rsid w:val="00D2605D"/>
    <w:rsid w:val="00D32121"/>
    <w:rsid w:val="00D3330D"/>
    <w:rsid w:val="00D53F80"/>
    <w:rsid w:val="00DA45B8"/>
    <w:rsid w:val="00EC7666"/>
    <w:rsid w:val="00EE657A"/>
    <w:rsid w:val="00F25C2F"/>
    <w:rsid w:val="00F42FEE"/>
    <w:rsid w:val="00F867BD"/>
    <w:rsid w:val="00FE58AE"/>
    <w:rsid w:val="00FF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strokecolor="#969696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D2605D"/>
    <w:pPr>
      <w:spacing w:before="100" w:beforeAutospacing="1" w:after="100" w:afterAutospacing="1"/>
    </w:pPr>
    <w:rPr>
      <w:color w:val="000000"/>
    </w:rPr>
  </w:style>
  <w:style w:type="paragraph" w:styleId="Textoindependiente2">
    <w:name w:val="Body Text 2"/>
    <w:basedOn w:val="Normal"/>
    <w:rsid w:val="000F76D1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INTRODUCCIÓN</vt:lpstr>
      <vt:lpstr>INTRODUCCIÓN</vt:lpstr>
    </vt:vector>
  </TitlesOfParts>
  <Company>ICM - ESPOL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gzurita</dc:creator>
  <cp:keywords/>
  <dc:description/>
  <cp:lastModifiedBy>ehernand</cp:lastModifiedBy>
  <cp:revision>2</cp:revision>
  <cp:lastPrinted>2005-06-06T16:52:00Z</cp:lastPrinted>
  <dcterms:created xsi:type="dcterms:W3CDTF">2011-02-14T16:30:00Z</dcterms:created>
  <dcterms:modified xsi:type="dcterms:W3CDTF">2011-02-14T16:30:00Z</dcterms:modified>
</cp:coreProperties>
</file>