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555C" w:rsidRDefault="006808B9" w:rsidP="00784BFC">
      <w:pPr>
        <w:spacing w:after="0"/>
        <w:jc w:val="both"/>
        <w:rPr>
          <w:b/>
        </w:rPr>
      </w:pPr>
      <w:proofErr w:type="spellStart"/>
      <w:r w:rsidRPr="00616A25">
        <w:rPr>
          <w:b/>
        </w:rPr>
        <w:t>Examen</w:t>
      </w:r>
      <w:proofErr w:type="spellEnd"/>
      <w:r w:rsidRPr="00616A25">
        <w:rPr>
          <w:b/>
        </w:rPr>
        <w:t xml:space="preserve"> de </w:t>
      </w:r>
      <w:proofErr w:type="spellStart"/>
      <w:r w:rsidRPr="00616A25">
        <w:rPr>
          <w:b/>
        </w:rPr>
        <w:t>Estadística</w:t>
      </w:r>
      <w:proofErr w:type="spellEnd"/>
      <w:r w:rsidRPr="00616A25">
        <w:rPr>
          <w:b/>
        </w:rPr>
        <w:t xml:space="preserve"> y </w:t>
      </w:r>
      <w:proofErr w:type="spellStart"/>
      <w:r w:rsidRPr="00616A25">
        <w:rPr>
          <w:b/>
        </w:rPr>
        <w:t>Quimiometría</w:t>
      </w:r>
      <w:proofErr w:type="spellEnd"/>
    </w:p>
    <w:p w:rsidR="006808B9" w:rsidRPr="00616A25" w:rsidRDefault="0092555C" w:rsidP="00784BFC">
      <w:pPr>
        <w:spacing w:after="0"/>
        <w:jc w:val="both"/>
        <w:rPr>
          <w:b/>
        </w:rPr>
      </w:pPr>
      <w:proofErr w:type="spellStart"/>
      <w:r>
        <w:rPr>
          <w:b/>
        </w:rPr>
        <w:t>Carrera</w:t>
      </w:r>
      <w:proofErr w:type="spellEnd"/>
      <w:r>
        <w:rPr>
          <w:b/>
        </w:rPr>
        <w:t xml:space="preserve"> de </w:t>
      </w:r>
      <w:proofErr w:type="spellStart"/>
      <w:r>
        <w:rPr>
          <w:b/>
        </w:rPr>
        <w:t>Ingeniería</w:t>
      </w:r>
      <w:proofErr w:type="spellEnd"/>
      <w:r>
        <w:rPr>
          <w:b/>
        </w:rPr>
        <w:t xml:space="preserve"> </w:t>
      </w:r>
      <w:proofErr w:type="spellStart"/>
      <w:r>
        <w:rPr>
          <w:b/>
        </w:rPr>
        <w:t>Química</w:t>
      </w:r>
      <w:proofErr w:type="spellEnd"/>
    </w:p>
    <w:p w:rsidR="006808B9" w:rsidRPr="00616A25" w:rsidRDefault="006808B9" w:rsidP="00784BFC">
      <w:pPr>
        <w:spacing w:after="0"/>
        <w:jc w:val="both"/>
        <w:rPr>
          <w:b/>
        </w:rPr>
      </w:pPr>
      <w:proofErr w:type="gramStart"/>
      <w:r w:rsidRPr="00616A25">
        <w:rPr>
          <w:b/>
        </w:rPr>
        <w:t>13 de</w:t>
      </w:r>
      <w:proofErr w:type="gramEnd"/>
      <w:r w:rsidRPr="00616A25">
        <w:rPr>
          <w:b/>
        </w:rPr>
        <w:t xml:space="preserve"> </w:t>
      </w:r>
      <w:proofErr w:type="spellStart"/>
      <w:r w:rsidRPr="00616A25">
        <w:rPr>
          <w:b/>
        </w:rPr>
        <w:t>Diciembre</w:t>
      </w:r>
      <w:proofErr w:type="spellEnd"/>
      <w:r w:rsidRPr="00616A25">
        <w:rPr>
          <w:b/>
        </w:rPr>
        <w:t xml:space="preserve"> de 2010</w:t>
      </w:r>
    </w:p>
    <w:p w:rsidR="006808B9" w:rsidRPr="00616A25" w:rsidRDefault="006808B9" w:rsidP="00784BFC">
      <w:pPr>
        <w:spacing w:after="0"/>
        <w:jc w:val="both"/>
        <w:rPr>
          <w:b/>
        </w:rPr>
      </w:pPr>
      <w:r w:rsidRPr="00616A25">
        <w:rPr>
          <w:b/>
        </w:rPr>
        <w:t>Prof. Luis Dominguez</w:t>
      </w:r>
    </w:p>
    <w:p w:rsidR="006808B9" w:rsidRPr="00616A25" w:rsidRDefault="006808B9" w:rsidP="00784BFC">
      <w:pPr>
        <w:spacing w:after="0"/>
        <w:jc w:val="both"/>
        <w:rPr>
          <w:b/>
        </w:rPr>
      </w:pPr>
    </w:p>
    <w:p w:rsidR="006808B9" w:rsidRPr="00784BFC" w:rsidRDefault="006808B9" w:rsidP="00784BFC">
      <w:pPr>
        <w:spacing w:after="0"/>
        <w:jc w:val="both"/>
      </w:pPr>
      <w:proofErr w:type="spellStart"/>
      <w:r w:rsidRPr="00784BFC">
        <w:t>Nombre</w:t>
      </w:r>
      <w:proofErr w:type="spellEnd"/>
      <w:proofErr w:type="gramStart"/>
      <w:r w:rsidRPr="00784BFC">
        <w:t>:_</w:t>
      </w:r>
      <w:proofErr w:type="gramEnd"/>
      <w:r w:rsidRPr="00784BFC">
        <w:t>_____________________________________________________</w:t>
      </w:r>
    </w:p>
    <w:p w:rsidR="006808B9" w:rsidRPr="00784BFC" w:rsidRDefault="006808B9" w:rsidP="00784BFC">
      <w:pPr>
        <w:spacing w:after="0"/>
        <w:jc w:val="both"/>
      </w:pPr>
    </w:p>
    <w:p w:rsidR="006808B9" w:rsidRPr="00784BFC" w:rsidRDefault="00784BFC" w:rsidP="00784BFC">
      <w:pPr>
        <w:widowControl w:val="0"/>
        <w:autoSpaceDE w:val="0"/>
        <w:autoSpaceDN w:val="0"/>
        <w:adjustRightInd w:val="0"/>
        <w:spacing w:after="0"/>
        <w:jc w:val="both"/>
        <w:rPr>
          <w:rFonts w:cs="Times New Roman"/>
          <w:szCs w:val="30"/>
          <w:lang w:val="es-ES_tradnl"/>
        </w:rPr>
      </w:pPr>
      <w:proofErr w:type="gramStart"/>
      <w:r>
        <w:t>1</w:t>
      </w:r>
      <w:r w:rsidR="006808B9" w:rsidRPr="00784BFC">
        <w:t>.-</w:t>
      </w:r>
      <w:proofErr w:type="gramEnd"/>
      <w:r w:rsidR="006808B9" w:rsidRPr="00784BFC">
        <w:t xml:space="preserve"> S</w:t>
      </w:r>
      <w:r w:rsidR="006808B9" w:rsidRPr="00784BFC">
        <w:rPr>
          <w:rFonts w:cs="Times New Roman"/>
          <w:szCs w:val="30"/>
          <w:lang w:val="es-ES_tradnl"/>
        </w:rPr>
        <w:t>e analizaron diez pastillas de diez lotes diferentes por dos métodos distintos, espectrofotometría en UV y espectroscopía de reflectancia en el infrarrojo lejano. La tabla siguiente proporciona los resultados obtenidos (% m/m)  de la determinación de la concentración de paracetamol en pastillas</w:t>
      </w:r>
      <w:r w:rsidR="006A7108">
        <w:rPr>
          <w:rFonts w:cs="Times New Roman"/>
          <w:szCs w:val="30"/>
          <w:lang w:val="es-ES_tradnl"/>
        </w:rPr>
        <w:t xml:space="preserve">. </w:t>
      </w:r>
    </w:p>
    <w:p w:rsidR="006808B9" w:rsidRPr="00784BFC" w:rsidRDefault="006808B9" w:rsidP="00784BFC">
      <w:pPr>
        <w:widowControl w:val="0"/>
        <w:autoSpaceDE w:val="0"/>
        <w:autoSpaceDN w:val="0"/>
        <w:adjustRightInd w:val="0"/>
        <w:spacing w:after="0"/>
        <w:jc w:val="both"/>
        <w:rPr>
          <w:rFonts w:cs="Times New Roman"/>
          <w:szCs w:val="32"/>
          <w:lang w:val="es-ES_tradnl"/>
        </w:rPr>
      </w:pPr>
    </w:p>
    <w:tbl>
      <w:tblPr>
        <w:tblW w:w="6487" w:type="dxa"/>
        <w:jc w:val="center"/>
        <w:tblBorders>
          <w:top w:val="nil"/>
          <w:left w:val="nil"/>
          <w:right w:val="nil"/>
        </w:tblBorders>
        <w:tblLayout w:type="fixed"/>
        <w:tblLook w:val="0000"/>
      </w:tblPr>
      <w:tblGrid>
        <w:gridCol w:w="1320"/>
        <w:gridCol w:w="2637"/>
        <w:gridCol w:w="2530"/>
      </w:tblGrid>
      <w:tr w:rsidR="006808B9" w:rsidRPr="00784BFC">
        <w:tblPrEx>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Lote</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Ensayo espectrofotométrico UV</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Espectroscopía de reflectancia en el infrarrojo cercano</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1</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84.63</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83.15</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2</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84.38</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83.72</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3</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84.08</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83.84</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4</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84.41</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84.20</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5</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83.82</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83.92</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6</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83.55</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84.16</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7</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83.92</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84.02</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8</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83.69</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83.60</w:t>
            </w:r>
          </w:p>
        </w:tc>
      </w:tr>
      <w:tr w:rsidR="006808B9" w:rsidRPr="00784BFC">
        <w:tblPrEx>
          <w:tblBorders>
            <w:top w:val="none" w:sz="0" w:space="0" w:color="auto"/>
          </w:tblBorders>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9</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84.06</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84.13</w:t>
            </w:r>
          </w:p>
        </w:tc>
      </w:tr>
      <w:tr w:rsidR="006808B9" w:rsidRPr="00784BFC">
        <w:tblPrEx>
          <w:tblCellMar>
            <w:top w:w="0" w:type="dxa"/>
            <w:bottom w:w="0" w:type="dxa"/>
          </w:tblCellMar>
        </w:tblPrEx>
        <w:trPr>
          <w:jc w:val="center"/>
        </w:trPr>
        <w:tc>
          <w:tcPr>
            <w:tcW w:w="132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10</w:t>
            </w:r>
          </w:p>
        </w:tc>
        <w:tc>
          <w:tcPr>
            <w:tcW w:w="2637"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84.03</w:t>
            </w:r>
          </w:p>
        </w:tc>
        <w:tc>
          <w:tcPr>
            <w:tcW w:w="2530" w:type="dxa"/>
            <w:tcMar>
              <w:top w:w="80" w:type="nil"/>
              <w:right w:w="80" w:type="nil"/>
            </w:tcMar>
          </w:tcPr>
          <w:p w:rsidR="006808B9" w:rsidRPr="00784BFC" w:rsidRDefault="006808B9" w:rsidP="00616A25">
            <w:pPr>
              <w:widowControl w:val="0"/>
              <w:autoSpaceDE w:val="0"/>
              <w:autoSpaceDN w:val="0"/>
              <w:adjustRightInd w:val="0"/>
              <w:spacing w:after="0"/>
              <w:jc w:val="center"/>
              <w:rPr>
                <w:rFonts w:cs="Times New Roman"/>
                <w:szCs w:val="30"/>
                <w:lang w:val="es-ES_tradnl"/>
              </w:rPr>
            </w:pPr>
            <w:r w:rsidRPr="00784BFC">
              <w:rPr>
                <w:rFonts w:cs="Times New Roman"/>
                <w:szCs w:val="30"/>
                <w:lang w:val="es-ES_tradnl"/>
              </w:rPr>
              <w:t>84.24</w:t>
            </w:r>
          </w:p>
        </w:tc>
      </w:tr>
    </w:tbl>
    <w:p w:rsidR="006808B9" w:rsidRPr="00784BFC" w:rsidRDefault="006808B9" w:rsidP="00784BFC">
      <w:pPr>
        <w:spacing w:after="0"/>
        <w:jc w:val="both"/>
      </w:pPr>
    </w:p>
    <w:p w:rsidR="006808B9" w:rsidRPr="00784BFC" w:rsidRDefault="006808B9" w:rsidP="00784BFC">
      <w:pPr>
        <w:spacing w:after="0"/>
        <w:jc w:val="both"/>
      </w:pPr>
      <w:proofErr w:type="spellStart"/>
      <w:proofErr w:type="gramStart"/>
      <w:r w:rsidRPr="00784BFC">
        <w:t>Indicar</w:t>
      </w:r>
      <w:proofErr w:type="spellEnd"/>
      <w:r w:rsidRPr="00784BFC">
        <w:t xml:space="preserve"> </w:t>
      </w:r>
      <w:proofErr w:type="spellStart"/>
      <w:r w:rsidRPr="00784BFC">
        <w:t>si</w:t>
      </w:r>
      <w:proofErr w:type="spellEnd"/>
      <w:r w:rsidRPr="00784BFC">
        <w:t xml:space="preserve"> los </w:t>
      </w:r>
      <w:proofErr w:type="spellStart"/>
      <w:r w:rsidRPr="00784BFC">
        <w:t>resultados</w:t>
      </w:r>
      <w:proofErr w:type="spellEnd"/>
      <w:r w:rsidRPr="00784BFC">
        <w:t xml:space="preserve"> </w:t>
      </w:r>
      <w:proofErr w:type="spellStart"/>
      <w:r w:rsidRPr="00784BFC">
        <w:t>obtenidos</w:t>
      </w:r>
      <w:proofErr w:type="spellEnd"/>
      <w:r w:rsidRPr="00784BFC">
        <w:t xml:space="preserve"> </w:t>
      </w:r>
      <w:proofErr w:type="spellStart"/>
      <w:r w:rsidRPr="00784BFC">
        <w:t>por</w:t>
      </w:r>
      <w:proofErr w:type="spellEnd"/>
      <w:r w:rsidRPr="00784BFC">
        <w:t xml:space="preserve"> ambos </w:t>
      </w:r>
      <w:proofErr w:type="spellStart"/>
      <w:r w:rsidRPr="00784BFC">
        <w:t>métodos</w:t>
      </w:r>
      <w:proofErr w:type="spellEnd"/>
      <w:r w:rsidRPr="00784BFC">
        <w:t xml:space="preserve"> son comparables</w:t>
      </w:r>
      <w:r w:rsidR="006A7108">
        <w:t xml:space="preserve"> (10 </w:t>
      </w:r>
      <w:proofErr w:type="spellStart"/>
      <w:r w:rsidR="006A7108">
        <w:t>puntos</w:t>
      </w:r>
      <w:proofErr w:type="spellEnd"/>
      <w:r w:rsidR="006A7108">
        <w:t>)</w:t>
      </w:r>
      <w:r w:rsidRPr="00784BFC">
        <w:t>.</w:t>
      </w:r>
      <w:proofErr w:type="gramEnd"/>
    </w:p>
    <w:p w:rsidR="006808B9" w:rsidRPr="00784BFC" w:rsidRDefault="006808B9" w:rsidP="00784BFC">
      <w:pPr>
        <w:spacing w:after="0"/>
        <w:jc w:val="both"/>
      </w:pPr>
    </w:p>
    <w:p w:rsidR="006808B9" w:rsidRPr="00784BFC" w:rsidRDefault="00784BFC" w:rsidP="00784BFC">
      <w:pPr>
        <w:widowControl w:val="0"/>
        <w:autoSpaceDE w:val="0"/>
        <w:autoSpaceDN w:val="0"/>
        <w:adjustRightInd w:val="0"/>
        <w:spacing w:after="0"/>
        <w:jc w:val="both"/>
        <w:rPr>
          <w:rFonts w:cs="Times New Roman"/>
          <w:szCs w:val="32"/>
          <w:lang w:val="es-ES_tradnl"/>
        </w:rPr>
      </w:pPr>
      <w:proofErr w:type="gramStart"/>
      <w:r>
        <w:t>2</w:t>
      </w:r>
      <w:r w:rsidR="006808B9" w:rsidRPr="00784BFC">
        <w:t>.-</w:t>
      </w:r>
      <w:proofErr w:type="gramEnd"/>
      <w:r w:rsidR="006808B9" w:rsidRPr="00784BFC">
        <w:t xml:space="preserve"> </w:t>
      </w:r>
      <w:r w:rsidR="006808B9" w:rsidRPr="00784BFC">
        <w:rPr>
          <w:rFonts w:cs="Times New Roman"/>
          <w:szCs w:val="30"/>
          <w:lang w:val="es-ES_tradnl"/>
        </w:rPr>
        <w:t xml:space="preserve">Se tienen dos métodos para determinar la concentración de vitaminas en productos alimenticios. Tras llevar a cabo un pretratamiento adecuado de ocho muestras diferentes disponibles, cada una de éstas se divide en dos porciones, a cada una de las cuales se le aplica uno de los dos métodos disponibles. Los resultados obtenidos, en </w:t>
      </w:r>
      <w:proofErr w:type="spellStart"/>
      <w:r w:rsidR="006808B9" w:rsidRPr="00784BFC">
        <w:rPr>
          <w:rFonts w:cs="Times New Roman"/>
          <w:szCs w:val="30"/>
          <w:lang w:val="es-ES_tradnl"/>
        </w:rPr>
        <w:t>mg</w:t>
      </w:r>
      <w:proofErr w:type="spellEnd"/>
      <w:r w:rsidR="006808B9" w:rsidRPr="00784BFC">
        <w:rPr>
          <w:rFonts w:cs="Times New Roman"/>
          <w:szCs w:val="30"/>
          <w:lang w:val="es-ES_tradnl"/>
        </w:rPr>
        <w:t xml:space="preserve"> l</w:t>
      </w:r>
      <w:r w:rsidR="006808B9" w:rsidRPr="00784BFC">
        <w:rPr>
          <w:rFonts w:cs="Times New Roman"/>
          <w:vertAlign w:val="superscript"/>
          <w:lang w:val="es-ES_tradnl"/>
        </w:rPr>
        <w:t>-1</w:t>
      </w:r>
      <w:r w:rsidR="006808B9" w:rsidRPr="00784BFC">
        <w:rPr>
          <w:rFonts w:cs="Times New Roman"/>
          <w:szCs w:val="30"/>
          <w:lang w:val="es-ES_tradnl"/>
        </w:rPr>
        <w:t>, se muestran en la tabla siguiente (10 puntos):</w:t>
      </w:r>
    </w:p>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 </w:t>
      </w:r>
    </w:p>
    <w:tbl>
      <w:tblPr>
        <w:tblW w:w="7392" w:type="dxa"/>
        <w:jc w:val="center"/>
        <w:tblBorders>
          <w:top w:val="nil"/>
          <w:left w:val="nil"/>
          <w:right w:val="nil"/>
        </w:tblBorders>
        <w:tblLayout w:type="fixed"/>
        <w:tblLook w:val="0000"/>
      </w:tblPr>
      <w:tblGrid>
        <w:gridCol w:w="1280"/>
        <w:gridCol w:w="764"/>
        <w:gridCol w:w="764"/>
        <w:gridCol w:w="764"/>
        <w:gridCol w:w="764"/>
        <w:gridCol w:w="764"/>
        <w:gridCol w:w="764"/>
        <w:gridCol w:w="764"/>
        <w:gridCol w:w="764"/>
      </w:tblGrid>
      <w:tr w:rsidR="006808B9" w:rsidRPr="00784BFC">
        <w:tblPrEx>
          <w:tblCellMar>
            <w:top w:w="0" w:type="dxa"/>
            <w:bottom w:w="0" w:type="dxa"/>
          </w:tblCellMar>
        </w:tblPrEx>
        <w:trPr>
          <w:jc w:val="center"/>
        </w:trPr>
        <w:tc>
          <w:tcPr>
            <w:tcW w:w="1280" w:type="dxa"/>
            <w:vMerge w:val="restart"/>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b/>
                <w:bCs/>
                <w:szCs w:val="32"/>
                <w:lang w:val="es-ES_tradnl"/>
              </w:rPr>
            </w:pPr>
            <w:r w:rsidRPr="00784BFC">
              <w:rPr>
                <w:rFonts w:cs="Times New Roman"/>
                <w:b/>
                <w:bCs/>
                <w:szCs w:val="30"/>
                <w:lang w:val="es-ES_tradnl"/>
              </w:rPr>
              <w:t> </w:t>
            </w:r>
          </w:p>
          <w:p w:rsidR="006808B9" w:rsidRPr="00784BFC" w:rsidRDefault="006808B9" w:rsidP="00784BFC">
            <w:pPr>
              <w:widowControl w:val="0"/>
              <w:autoSpaceDE w:val="0"/>
              <w:autoSpaceDN w:val="0"/>
              <w:adjustRightInd w:val="0"/>
              <w:spacing w:after="0"/>
              <w:jc w:val="both"/>
              <w:rPr>
                <w:rFonts w:cs="Times New Roman"/>
                <w:b/>
                <w:bCs/>
                <w:szCs w:val="32"/>
                <w:lang w:val="es-ES_tradnl"/>
              </w:rPr>
            </w:pPr>
            <w:r w:rsidRPr="00784BFC">
              <w:rPr>
                <w:rFonts w:cs="Times New Roman"/>
                <w:b/>
                <w:bCs/>
                <w:szCs w:val="30"/>
                <w:lang w:val="es-ES_tradnl"/>
              </w:rPr>
              <w:t>Método</w:t>
            </w:r>
          </w:p>
        </w:tc>
        <w:tc>
          <w:tcPr>
            <w:tcW w:w="6112" w:type="dxa"/>
            <w:gridSpan w:val="8"/>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Muestra</w:t>
            </w:r>
          </w:p>
        </w:tc>
      </w:tr>
      <w:tr w:rsidR="006808B9" w:rsidRPr="00784BFC">
        <w:tblPrEx>
          <w:tblBorders>
            <w:top w:val="none" w:sz="0" w:space="0" w:color="auto"/>
          </w:tblBorders>
          <w:tblCellMar>
            <w:top w:w="0" w:type="dxa"/>
            <w:bottom w:w="0" w:type="dxa"/>
          </w:tblCellMar>
        </w:tblPrEx>
        <w:trPr>
          <w:jc w:val="center"/>
        </w:trPr>
        <w:tc>
          <w:tcPr>
            <w:tcW w:w="1280" w:type="dxa"/>
            <w:vMerge/>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1</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2</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3</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4</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5</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6</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7</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8</w:t>
            </w:r>
          </w:p>
        </w:tc>
      </w:tr>
      <w:tr w:rsidR="006808B9" w:rsidRPr="00784BFC">
        <w:tblPrEx>
          <w:tblBorders>
            <w:top w:val="none" w:sz="0" w:space="0" w:color="auto"/>
          </w:tblBorders>
          <w:tblCellMar>
            <w:top w:w="0" w:type="dxa"/>
            <w:bottom w:w="0" w:type="dxa"/>
          </w:tblCellMar>
        </w:tblPrEx>
        <w:trPr>
          <w:jc w:val="center"/>
        </w:trPr>
        <w:tc>
          <w:tcPr>
            <w:tcW w:w="1280"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A</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2.52</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3.13</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4.33</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2.25</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2.79</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3.04</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2.19</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2.16</w:t>
            </w:r>
          </w:p>
        </w:tc>
      </w:tr>
      <w:tr w:rsidR="006808B9" w:rsidRPr="00784BFC">
        <w:tblPrEx>
          <w:tblCellMar>
            <w:top w:w="0" w:type="dxa"/>
            <w:bottom w:w="0" w:type="dxa"/>
          </w:tblCellMar>
        </w:tblPrEx>
        <w:trPr>
          <w:jc w:val="center"/>
        </w:trPr>
        <w:tc>
          <w:tcPr>
            <w:tcW w:w="1280"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b/>
                <w:bCs/>
                <w:szCs w:val="30"/>
                <w:lang w:val="es-ES_tradnl"/>
              </w:rPr>
              <w:t>B</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3.17</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5.00</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4.03</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2.38</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3.68</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2.94</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2.83</w:t>
            </w:r>
          </w:p>
        </w:tc>
        <w:tc>
          <w:tcPr>
            <w:tcW w:w="764" w:type="dxa"/>
            <w:tcMar>
              <w:top w:w="80" w:type="nil"/>
              <w:right w:w="80" w:type="nil"/>
            </w:tcMar>
          </w:tcPr>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2.18</w:t>
            </w:r>
          </w:p>
        </w:tc>
      </w:tr>
    </w:tbl>
    <w:p w:rsidR="006808B9" w:rsidRPr="00784BFC" w:rsidRDefault="006808B9"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 </w:t>
      </w:r>
    </w:p>
    <w:p w:rsidR="006808B9" w:rsidRPr="00784BFC" w:rsidRDefault="006808B9" w:rsidP="00784BFC">
      <w:pPr>
        <w:spacing w:after="0"/>
        <w:jc w:val="both"/>
        <w:rPr>
          <w:rFonts w:cs="Times New Roman"/>
          <w:szCs w:val="30"/>
          <w:lang w:val="es-ES_tradnl"/>
        </w:rPr>
      </w:pPr>
      <w:r w:rsidRPr="00784BFC">
        <w:rPr>
          <w:rFonts w:cs="Times New Roman"/>
          <w:szCs w:val="30"/>
          <w:lang w:val="es-ES_tradnl"/>
        </w:rPr>
        <w:t>Determinar si existen diferencias significativas entre los dos métodos utilizados.</w:t>
      </w:r>
    </w:p>
    <w:p w:rsidR="006808B9" w:rsidRPr="00784BFC" w:rsidRDefault="006808B9" w:rsidP="00784BFC">
      <w:pPr>
        <w:spacing w:after="0"/>
        <w:jc w:val="both"/>
        <w:rPr>
          <w:rFonts w:cs="Times New Roman"/>
          <w:szCs w:val="30"/>
          <w:lang w:val="es-ES_tradnl"/>
        </w:rPr>
      </w:pPr>
    </w:p>
    <w:p w:rsidR="003D4B65" w:rsidRPr="00784BFC" w:rsidRDefault="00784BFC" w:rsidP="00784BFC">
      <w:pPr>
        <w:widowControl w:val="0"/>
        <w:autoSpaceDE w:val="0"/>
        <w:autoSpaceDN w:val="0"/>
        <w:adjustRightInd w:val="0"/>
        <w:spacing w:after="0"/>
        <w:jc w:val="both"/>
        <w:rPr>
          <w:rFonts w:cs="Times New Roman"/>
          <w:szCs w:val="30"/>
          <w:lang w:val="es-ES_tradnl"/>
        </w:rPr>
      </w:pPr>
      <w:r>
        <w:rPr>
          <w:rFonts w:cs="Times New Roman"/>
          <w:szCs w:val="30"/>
          <w:lang w:val="es-ES_tradnl"/>
        </w:rPr>
        <w:t>3</w:t>
      </w:r>
      <w:r w:rsidR="006808B9" w:rsidRPr="00784BFC">
        <w:rPr>
          <w:rFonts w:cs="Times New Roman"/>
          <w:szCs w:val="30"/>
          <w:lang w:val="es-ES_tradnl"/>
        </w:rPr>
        <w:t>.-</w:t>
      </w:r>
      <w:r w:rsidR="003D4B65" w:rsidRPr="00784BFC">
        <w:rPr>
          <w:rFonts w:cs="Times New Roman"/>
          <w:szCs w:val="30"/>
          <w:lang w:val="es-ES_tradnl"/>
        </w:rPr>
        <w:t>Se sospecha que un método de valoración ácido-base tiene un error de indicador significativo y, por tanto, tiende a dar resultados con un error sistemático positivo (es decir, sesgo positivo). Para comprobar esto se utiliza una disolución exactamente 0.1 M de ácido para valorar 25.00 ml de otra disolución exactamente 0.1 M de una base, con los siguientes resultados (ml) (10 puntos):</w:t>
      </w:r>
    </w:p>
    <w:p w:rsidR="003D4B65" w:rsidRPr="00784BFC" w:rsidRDefault="003D4B65" w:rsidP="00784BFC">
      <w:pPr>
        <w:widowControl w:val="0"/>
        <w:autoSpaceDE w:val="0"/>
        <w:autoSpaceDN w:val="0"/>
        <w:adjustRightInd w:val="0"/>
        <w:spacing w:after="0"/>
        <w:jc w:val="both"/>
        <w:rPr>
          <w:rFonts w:cs="Times New Roman"/>
          <w:szCs w:val="32"/>
          <w:lang w:val="es-ES_tradnl"/>
        </w:rPr>
      </w:pPr>
    </w:p>
    <w:p w:rsidR="003D4B65" w:rsidRPr="00784BFC" w:rsidRDefault="003D4B65" w:rsidP="00A91969">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25.06,   25.18,   24.87,   25.51,   25.34,   25.41</w:t>
      </w:r>
    </w:p>
    <w:p w:rsidR="003D4B65" w:rsidRPr="00784BFC" w:rsidRDefault="003D4B65" w:rsidP="00784BFC">
      <w:pPr>
        <w:spacing w:after="0"/>
        <w:jc w:val="both"/>
        <w:rPr>
          <w:rFonts w:cs="Times New Roman"/>
          <w:szCs w:val="30"/>
          <w:lang w:val="es-ES_tradnl"/>
        </w:rPr>
      </w:pPr>
    </w:p>
    <w:p w:rsidR="003D4B65" w:rsidRPr="00784BFC" w:rsidRDefault="003D4B65" w:rsidP="00784BFC">
      <w:pPr>
        <w:spacing w:after="0"/>
        <w:jc w:val="both"/>
        <w:rPr>
          <w:rFonts w:cs="Times New Roman"/>
          <w:szCs w:val="30"/>
          <w:lang w:val="es-ES_tradnl"/>
        </w:rPr>
      </w:pPr>
      <w:r w:rsidRPr="00784BFC">
        <w:rPr>
          <w:rFonts w:cs="Times New Roman"/>
          <w:szCs w:val="30"/>
          <w:lang w:val="es-ES_tradnl"/>
        </w:rPr>
        <w:t>Contrastar la existencia de sesgo positivo en estos resultados.</w:t>
      </w:r>
    </w:p>
    <w:p w:rsidR="003D4B65" w:rsidRPr="00784BFC" w:rsidRDefault="003D4B65" w:rsidP="00784BFC">
      <w:pPr>
        <w:spacing w:after="0"/>
        <w:jc w:val="both"/>
        <w:rPr>
          <w:rFonts w:cs="Times New Roman"/>
          <w:szCs w:val="30"/>
          <w:lang w:val="es-ES_tradnl"/>
        </w:rPr>
      </w:pPr>
    </w:p>
    <w:p w:rsidR="00CD7AF7" w:rsidRPr="00784BFC" w:rsidRDefault="00784BFC" w:rsidP="00784BFC">
      <w:pPr>
        <w:widowControl w:val="0"/>
        <w:autoSpaceDE w:val="0"/>
        <w:autoSpaceDN w:val="0"/>
        <w:adjustRightInd w:val="0"/>
        <w:spacing w:after="0"/>
        <w:jc w:val="both"/>
        <w:rPr>
          <w:rFonts w:cs="Times New Roman"/>
          <w:szCs w:val="32"/>
          <w:lang w:val="es-ES_tradnl"/>
        </w:rPr>
      </w:pPr>
      <w:proofErr w:type="gramStart"/>
      <w:r>
        <w:t>4</w:t>
      </w:r>
      <w:r w:rsidR="003D4B65" w:rsidRPr="00784BFC">
        <w:t>.-</w:t>
      </w:r>
      <w:proofErr w:type="gramEnd"/>
      <w:r w:rsidR="003D4B65" w:rsidRPr="00784BFC">
        <w:t xml:space="preserve"> </w:t>
      </w:r>
      <w:r w:rsidR="00CD7AF7" w:rsidRPr="00784BFC">
        <w:rPr>
          <w:rFonts w:cs="Times New Roman"/>
          <w:szCs w:val="30"/>
          <w:lang w:val="es-ES_tradnl"/>
        </w:rPr>
        <w:t xml:space="preserve">Los datos de la siguiente tabla proporcionan la concentración de </w:t>
      </w:r>
      <w:proofErr w:type="spellStart"/>
      <w:r w:rsidR="00CD7AF7" w:rsidRPr="00784BFC">
        <w:rPr>
          <w:rFonts w:cs="Times New Roman"/>
          <w:szCs w:val="30"/>
          <w:lang w:val="es-ES_tradnl"/>
        </w:rPr>
        <w:t>tiol</w:t>
      </w:r>
      <w:proofErr w:type="spellEnd"/>
      <w:r w:rsidR="00CD7AF7" w:rsidRPr="00784BFC">
        <w:rPr>
          <w:rFonts w:cs="Times New Roman"/>
          <w:szCs w:val="30"/>
          <w:lang w:val="es-ES_tradnl"/>
        </w:rPr>
        <w:t xml:space="preserve"> (</w:t>
      </w:r>
      <w:proofErr w:type="spellStart"/>
      <w:r w:rsidR="00CD7AF7" w:rsidRPr="00784BFC">
        <w:rPr>
          <w:rFonts w:cs="Times New Roman"/>
          <w:szCs w:val="30"/>
          <w:lang w:val="es-ES_tradnl"/>
        </w:rPr>
        <w:t>mN</w:t>
      </w:r>
      <w:proofErr w:type="spellEnd"/>
      <w:r w:rsidR="00CD7AF7" w:rsidRPr="00784BFC">
        <w:rPr>
          <w:rFonts w:cs="Times New Roman"/>
          <w:szCs w:val="30"/>
          <w:lang w:val="es-ES_tradnl"/>
        </w:rPr>
        <w:t>) en el fluido sanguíneo de dos grupos de voluntarios, siendo el primer grupo "normal" y el segundo sufriendo artritis reumatoide</w:t>
      </w:r>
      <w:r>
        <w:rPr>
          <w:rFonts w:cs="Times New Roman"/>
          <w:szCs w:val="30"/>
          <w:lang w:val="es-ES_tradnl"/>
        </w:rPr>
        <w:t xml:space="preserve"> (1</w:t>
      </w:r>
      <w:r w:rsidR="00CD7AF7" w:rsidRPr="00784BFC">
        <w:rPr>
          <w:rFonts w:cs="Times New Roman"/>
          <w:szCs w:val="30"/>
          <w:lang w:val="es-ES_tradnl"/>
        </w:rPr>
        <w:t>0 puntos).</w:t>
      </w:r>
    </w:p>
    <w:p w:rsidR="00CD7AF7" w:rsidRPr="00784BFC" w:rsidRDefault="00CD7AF7"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 </w:t>
      </w:r>
    </w:p>
    <w:tbl>
      <w:tblPr>
        <w:tblW w:w="7288" w:type="dxa"/>
        <w:jc w:val="center"/>
        <w:tblInd w:w="-358" w:type="dxa"/>
        <w:tblBorders>
          <w:top w:val="nil"/>
          <w:left w:val="nil"/>
          <w:right w:val="nil"/>
        </w:tblBorders>
        <w:tblLayout w:type="fixed"/>
        <w:tblLook w:val="0000"/>
      </w:tblPr>
      <w:tblGrid>
        <w:gridCol w:w="1884"/>
        <w:gridCol w:w="772"/>
        <w:gridCol w:w="772"/>
        <w:gridCol w:w="772"/>
        <w:gridCol w:w="772"/>
        <w:gridCol w:w="772"/>
        <w:gridCol w:w="772"/>
        <w:gridCol w:w="772"/>
      </w:tblGrid>
      <w:tr w:rsidR="00CD7AF7" w:rsidRPr="00784BFC">
        <w:tblPrEx>
          <w:tblCellMar>
            <w:top w:w="0" w:type="dxa"/>
            <w:bottom w:w="0" w:type="dxa"/>
          </w:tblCellMar>
        </w:tblPrEx>
        <w:trPr>
          <w:jc w:val="center"/>
        </w:trPr>
        <w:tc>
          <w:tcPr>
            <w:tcW w:w="1884"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b/>
                <w:bCs/>
                <w:szCs w:val="32"/>
                <w:lang w:val="es-ES_tradnl"/>
              </w:rPr>
            </w:pPr>
            <w:r w:rsidRPr="00784BFC">
              <w:rPr>
                <w:rFonts w:cs="Times New Roman"/>
                <w:b/>
                <w:bCs/>
                <w:szCs w:val="30"/>
                <w:lang w:val="es-ES_tradnl"/>
              </w:rPr>
              <w:t>Normal</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1.84</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1.92</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1.94</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1.92</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1.85</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1.91</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2.07</w:t>
            </w:r>
          </w:p>
        </w:tc>
      </w:tr>
      <w:tr w:rsidR="00CD7AF7" w:rsidRPr="00784BFC">
        <w:tblPrEx>
          <w:tblCellMar>
            <w:top w:w="0" w:type="dxa"/>
            <w:bottom w:w="0" w:type="dxa"/>
          </w:tblCellMar>
        </w:tblPrEx>
        <w:trPr>
          <w:jc w:val="center"/>
        </w:trPr>
        <w:tc>
          <w:tcPr>
            <w:tcW w:w="1884"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b/>
                <w:bCs/>
                <w:szCs w:val="32"/>
                <w:lang w:val="es-ES_tradnl"/>
              </w:rPr>
            </w:pPr>
            <w:r w:rsidRPr="00784BFC">
              <w:rPr>
                <w:rFonts w:cs="Times New Roman"/>
                <w:b/>
                <w:bCs/>
                <w:szCs w:val="30"/>
                <w:lang w:val="es-ES_tradnl"/>
              </w:rPr>
              <w:t>Reumatoide</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2.81</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4.06</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3.62</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3.27</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3.27</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3.76</w:t>
            </w:r>
          </w:p>
        </w:tc>
        <w:tc>
          <w:tcPr>
            <w:tcW w:w="772" w:type="dxa"/>
            <w:tcMar>
              <w:top w:w="80" w:type="nil"/>
              <w:right w:w="80" w:type="nil"/>
            </w:tcMar>
          </w:tcPr>
          <w:p w:rsidR="00CD7AF7" w:rsidRPr="00784BFC" w:rsidRDefault="00CD7AF7" w:rsidP="00EA2BFE">
            <w:pPr>
              <w:widowControl w:val="0"/>
              <w:autoSpaceDE w:val="0"/>
              <w:autoSpaceDN w:val="0"/>
              <w:adjustRightInd w:val="0"/>
              <w:spacing w:after="0"/>
              <w:jc w:val="center"/>
              <w:rPr>
                <w:rFonts w:cs="Times New Roman"/>
                <w:szCs w:val="32"/>
                <w:lang w:val="es-ES_tradnl"/>
              </w:rPr>
            </w:pPr>
          </w:p>
        </w:tc>
      </w:tr>
    </w:tbl>
    <w:p w:rsidR="00CD7AF7" w:rsidRPr="00784BFC" w:rsidRDefault="00CD7AF7"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 </w:t>
      </w:r>
    </w:p>
    <w:p w:rsidR="00CD7AF7" w:rsidRPr="00784BFC" w:rsidRDefault="00CD7AF7"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a)</w:t>
      </w:r>
      <w:r w:rsidRPr="00784BFC">
        <w:rPr>
          <w:rFonts w:cs="Times New Roman"/>
          <w:szCs w:val="18"/>
          <w:lang w:val="es-ES_tradnl"/>
        </w:rPr>
        <w:t xml:space="preserve">      </w:t>
      </w:r>
      <w:r w:rsidRPr="00784BFC">
        <w:rPr>
          <w:rFonts w:cs="Times New Roman"/>
          <w:szCs w:val="30"/>
          <w:lang w:val="es-ES_tradnl"/>
        </w:rPr>
        <w:t>Demostrar que las varianzas de los dos grupos difieren significativamente</w:t>
      </w:r>
    </w:p>
    <w:p w:rsidR="00784BFC" w:rsidRPr="00784BFC" w:rsidRDefault="00CD7AF7" w:rsidP="00784BFC">
      <w:pPr>
        <w:spacing w:after="0"/>
        <w:jc w:val="both"/>
        <w:rPr>
          <w:rFonts w:cs="Times New Roman"/>
          <w:szCs w:val="30"/>
          <w:lang w:val="es-ES_tradnl"/>
        </w:rPr>
      </w:pPr>
      <w:r w:rsidRPr="00784BFC">
        <w:rPr>
          <w:rFonts w:cs="Times New Roman"/>
          <w:szCs w:val="30"/>
          <w:lang w:val="es-ES_tradnl"/>
        </w:rPr>
        <w:t>b)</w:t>
      </w:r>
      <w:r w:rsidRPr="00784BFC">
        <w:rPr>
          <w:rFonts w:cs="Times New Roman"/>
          <w:szCs w:val="18"/>
          <w:lang w:val="es-ES_tradnl"/>
        </w:rPr>
        <w:t xml:space="preserve">      </w:t>
      </w:r>
      <w:r w:rsidRPr="00784BFC">
        <w:rPr>
          <w:rFonts w:cs="Times New Roman"/>
          <w:szCs w:val="30"/>
          <w:lang w:val="es-ES_tradnl"/>
        </w:rPr>
        <w:t xml:space="preserve">Calcular si la concentración media de </w:t>
      </w:r>
      <w:proofErr w:type="spellStart"/>
      <w:r w:rsidRPr="00784BFC">
        <w:rPr>
          <w:rFonts w:cs="Times New Roman"/>
          <w:szCs w:val="30"/>
          <w:lang w:val="es-ES_tradnl"/>
        </w:rPr>
        <w:t>tiol</w:t>
      </w:r>
      <w:proofErr w:type="spellEnd"/>
      <w:r w:rsidRPr="00784BFC">
        <w:rPr>
          <w:rFonts w:cs="Times New Roman"/>
          <w:szCs w:val="30"/>
          <w:lang w:val="es-ES_tradnl"/>
        </w:rPr>
        <w:t xml:space="preserve"> es la misma para los dos grupos</w:t>
      </w:r>
    </w:p>
    <w:p w:rsidR="00784BFC" w:rsidRPr="00784BFC" w:rsidRDefault="00784BFC" w:rsidP="00784BFC">
      <w:pPr>
        <w:spacing w:after="0"/>
        <w:jc w:val="both"/>
        <w:rPr>
          <w:rFonts w:cs="Times New Roman"/>
          <w:szCs w:val="30"/>
          <w:lang w:val="es-ES_tradnl"/>
        </w:rPr>
      </w:pPr>
    </w:p>
    <w:p w:rsidR="00784BFC" w:rsidRPr="00784BFC" w:rsidRDefault="00784BFC" w:rsidP="00784BFC">
      <w:pPr>
        <w:widowControl w:val="0"/>
        <w:autoSpaceDE w:val="0"/>
        <w:autoSpaceDN w:val="0"/>
        <w:adjustRightInd w:val="0"/>
        <w:spacing w:after="0"/>
        <w:jc w:val="both"/>
        <w:rPr>
          <w:rFonts w:cs="Times New Roman"/>
          <w:szCs w:val="32"/>
          <w:lang w:val="es-ES_tradnl"/>
        </w:rPr>
      </w:pPr>
      <w:r>
        <w:rPr>
          <w:rFonts w:cs="Times New Roman"/>
          <w:szCs w:val="30"/>
          <w:lang w:val="es-ES_tradnl"/>
        </w:rPr>
        <w:t>5</w:t>
      </w:r>
      <w:r w:rsidRPr="00784BFC">
        <w:rPr>
          <w:rFonts w:cs="Times New Roman"/>
          <w:szCs w:val="30"/>
          <w:lang w:val="es-ES_tradnl"/>
        </w:rPr>
        <w:t>.- Para evaluar un método espectrofotométrico para determinar titanio, se aplicó el método a muestras de aleaciones conteniendo diferentes cantidades certificadas de titanio. Para cada aleación se realizaron 8 determinaciones repetidas. Los resultados (% Ti) se muestran a continuación.</w:t>
      </w:r>
    </w:p>
    <w:p w:rsidR="00784BFC" w:rsidRPr="00784BFC" w:rsidRDefault="00784BFC" w:rsidP="00784BFC">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 </w:t>
      </w:r>
    </w:p>
    <w:tbl>
      <w:tblPr>
        <w:tblW w:w="7171" w:type="dxa"/>
        <w:jc w:val="center"/>
        <w:tblBorders>
          <w:top w:val="nil"/>
          <w:left w:val="nil"/>
          <w:right w:val="nil"/>
        </w:tblBorders>
        <w:tblLayout w:type="fixed"/>
        <w:tblLook w:val="0000"/>
      </w:tblPr>
      <w:tblGrid>
        <w:gridCol w:w="1285"/>
        <w:gridCol w:w="2218"/>
        <w:gridCol w:w="1052"/>
        <w:gridCol w:w="2616"/>
      </w:tblGrid>
      <w:tr w:rsidR="00784BFC" w:rsidRPr="00784BFC">
        <w:tblPrEx>
          <w:tblCellMar>
            <w:top w:w="0" w:type="dxa"/>
            <w:bottom w:w="0" w:type="dxa"/>
          </w:tblCellMar>
        </w:tblPrEx>
        <w:trPr>
          <w:jc w:val="center"/>
        </w:trPr>
        <w:tc>
          <w:tcPr>
            <w:tcW w:w="1285"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b/>
                <w:bCs/>
                <w:szCs w:val="30"/>
                <w:lang w:val="es-ES_tradnl"/>
              </w:rPr>
            </w:pPr>
            <w:r w:rsidRPr="00784BFC">
              <w:rPr>
                <w:rFonts w:cs="Times New Roman"/>
                <w:b/>
                <w:bCs/>
                <w:szCs w:val="30"/>
                <w:lang w:val="es-ES_tradnl"/>
              </w:rPr>
              <w:t>Muestra</w:t>
            </w:r>
          </w:p>
        </w:tc>
        <w:tc>
          <w:tcPr>
            <w:tcW w:w="2218"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Valor certificado</w:t>
            </w:r>
          </w:p>
        </w:tc>
        <w:tc>
          <w:tcPr>
            <w:tcW w:w="1052"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Media</w:t>
            </w:r>
          </w:p>
        </w:tc>
        <w:tc>
          <w:tcPr>
            <w:tcW w:w="2616"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Desviación estándar</w:t>
            </w:r>
          </w:p>
        </w:tc>
      </w:tr>
      <w:tr w:rsidR="00784BFC" w:rsidRPr="00784BFC">
        <w:tblPrEx>
          <w:tblBorders>
            <w:top w:val="none" w:sz="0" w:space="0" w:color="auto"/>
          </w:tblBorders>
          <w:tblCellMar>
            <w:top w:w="0" w:type="dxa"/>
            <w:bottom w:w="0" w:type="dxa"/>
          </w:tblCellMar>
        </w:tblPrEx>
        <w:trPr>
          <w:jc w:val="center"/>
        </w:trPr>
        <w:tc>
          <w:tcPr>
            <w:tcW w:w="1285"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1</w:t>
            </w:r>
          </w:p>
        </w:tc>
        <w:tc>
          <w:tcPr>
            <w:tcW w:w="2218"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0.496</w:t>
            </w:r>
          </w:p>
        </w:tc>
        <w:tc>
          <w:tcPr>
            <w:tcW w:w="1052"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0.482</w:t>
            </w:r>
          </w:p>
        </w:tc>
        <w:tc>
          <w:tcPr>
            <w:tcW w:w="2616"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0.0257</w:t>
            </w:r>
          </w:p>
        </w:tc>
      </w:tr>
      <w:tr w:rsidR="00784BFC" w:rsidRPr="00784BFC">
        <w:tblPrEx>
          <w:tblBorders>
            <w:top w:val="none" w:sz="0" w:space="0" w:color="auto"/>
          </w:tblBorders>
          <w:tblCellMar>
            <w:top w:w="0" w:type="dxa"/>
            <w:bottom w:w="0" w:type="dxa"/>
          </w:tblCellMar>
        </w:tblPrEx>
        <w:trPr>
          <w:jc w:val="center"/>
        </w:trPr>
        <w:tc>
          <w:tcPr>
            <w:tcW w:w="1285"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2</w:t>
            </w:r>
          </w:p>
        </w:tc>
        <w:tc>
          <w:tcPr>
            <w:tcW w:w="2218"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0.995</w:t>
            </w:r>
          </w:p>
        </w:tc>
        <w:tc>
          <w:tcPr>
            <w:tcW w:w="1052"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1.009</w:t>
            </w:r>
          </w:p>
        </w:tc>
        <w:tc>
          <w:tcPr>
            <w:tcW w:w="2616"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0.0248</w:t>
            </w:r>
          </w:p>
        </w:tc>
      </w:tr>
      <w:tr w:rsidR="00784BFC" w:rsidRPr="00784BFC">
        <w:tblPrEx>
          <w:tblBorders>
            <w:top w:val="none" w:sz="0" w:space="0" w:color="auto"/>
          </w:tblBorders>
          <w:tblCellMar>
            <w:top w:w="0" w:type="dxa"/>
            <w:bottom w:w="0" w:type="dxa"/>
          </w:tblCellMar>
        </w:tblPrEx>
        <w:trPr>
          <w:jc w:val="center"/>
        </w:trPr>
        <w:tc>
          <w:tcPr>
            <w:tcW w:w="1285"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3</w:t>
            </w:r>
          </w:p>
        </w:tc>
        <w:tc>
          <w:tcPr>
            <w:tcW w:w="2218"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1.493</w:t>
            </w:r>
          </w:p>
        </w:tc>
        <w:tc>
          <w:tcPr>
            <w:tcW w:w="1052"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1.505</w:t>
            </w:r>
          </w:p>
        </w:tc>
        <w:tc>
          <w:tcPr>
            <w:tcW w:w="2616"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0.0287</w:t>
            </w:r>
          </w:p>
        </w:tc>
      </w:tr>
      <w:tr w:rsidR="00784BFC" w:rsidRPr="00784BFC">
        <w:tblPrEx>
          <w:tblCellMar>
            <w:top w:w="0" w:type="dxa"/>
            <w:bottom w:w="0" w:type="dxa"/>
          </w:tblCellMar>
        </w:tblPrEx>
        <w:trPr>
          <w:jc w:val="center"/>
        </w:trPr>
        <w:tc>
          <w:tcPr>
            <w:tcW w:w="1285"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b/>
                <w:bCs/>
                <w:szCs w:val="30"/>
                <w:lang w:val="es-ES_tradnl"/>
              </w:rPr>
              <w:t>4</w:t>
            </w:r>
          </w:p>
        </w:tc>
        <w:tc>
          <w:tcPr>
            <w:tcW w:w="2218"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1.990</w:t>
            </w:r>
          </w:p>
        </w:tc>
        <w:tc>
          <w:tcPr>
            <w:tcW w:w="1052"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2.002</w:t>
            </w:r>
          </w:p>
        </w:tc>
        <w:tc>
          <w:tcPr>
            <w:tcW w:w="2616" w:type="dxa"/>
            <w:tcMar>
              <w:top w:w="80" w:type="nil"/>
              <w:right w:w="80" w:type="nil"/>
            </w:tcMar>
          </w:tcPr>
          <w:p w:rsidR="00784BFC" w:rsidRPr="00784BFC" w:rsidRDefault="00784BFC" w:rsidP="00E73295">
            <w:pPr>
              <w:widowControl w:val="0"/>
              <w:autoSpaceDE w:val="0"/>
              <w:autoSpaceDN w:val="0"/>
              <w:adjustRightInd w:val="0"/>
              <w:spacing w:after="0"/>
              <w:jc w:val="center"/>
              <w:rPr>
                <w:rFonts w:cs="Times New Roman"/>
                <w:szCs w:val="32"/>
                <w:lang w:val="es-ES_tradnl"/>
              </w:rPr>
            </w:pPr>
            <w:r w:rsidRPr="00784BFC">
              <w:rPr>
                <w:rFonts w:cs="Times New Roman"/>
                <w:szCs w:val="30"/>
                <w:lang w:val="es-ES_tradnl"/>
              </w:rPr>
              <w:t>0.0212</w:t>
            </w:r>
          </w:p>
        </w:tc>
      </w:tr>
    </w:tbl>
    <w:p w:rsidR="00784BFC" w:rsidRDefault="00784BFC" w:rsidP="00784BFC">
      <w:pPr>
        <w:widowControl w:val="0"/>
        <w:autoSpaceDE w:val="0"/>
        <w:autoSpaceDN w:val="0"/>
        <w:adjustRightInd w:val="0"/>
        <w:spacing w:after="0"/>
        <w:jc w:val="both"/>
        <w:rPr>
          <w:rFonts w:cs="Times New Roman"/>
          <w:szCs w:val="30"/>
          <w:lang w:val="es-ES_tradnl"/>
        </w:rPr>
      </w:pPr>
    </w:p>
    <w:p w:rsidR="00784BFC" w:rsidRPr="00A102D2" w:rsidRDefault="00784BFC" w:rsidP="00A102D2">
      <w:pPr>
        <w:widowControl w:val="0"/>
        <w:autoSpaceDE w:val="0"/>
        <w:autoSpaceDN w:val="0"/>
        <w:adjustRightInd w:val="0"/>
        <w:spacing w:after="0"/>
        <w:jc w:val="both"/>
        <w:rPr>
          <w:rFonts w:cs="Times New Roman"/>
          <w:szCs w:val="32"/>
          <w:lang w:val="es-ES_tradnl"/>
        </w:rPr>
      </w:pPr>
      <w:r w:rsidRPr="00784BFC">
        <w:rPr>
          <w:rFonts w:cs="Times New Roman"/>
          <w:szCs w:val="30"/>
          <w:lang w:val="es-ES_tradnl"/>
        </w:rPr>
        <w:t xml:space="preserve">Contrastar, para cada aleación, si el valor medio difiere significativamente del valor </w:t>
      </w:r>
      <w:r w:rsidRPr="00A102D2">
        <w:rPr>
          <w:rFonts w:cs="Times New Roman"/>
          <w:szCs w:val="30"/>
          <w:lang w:val="es-ES_tradnl"/>
        </w:rPr>
        <w:t>certificado (10 puntos).</w:t>
      </w:r>
    </w:p>
    <w:p w:rsidR="00784BFC" w:rsidRPr="00A102D2" w:rsidRDefault="00784BFC" w:rsidP="00A102D2">
      <w:pPr>
        <w:spacing w:after="0"/>
        <w:jc w:val="both"/>
        <w:rPr>
          <w:rFonts w:cs="Times New Roman"/>
          <w:szCs w:val="30"/>
          <w:lang w:val="es-ES_tradnl"/>
        </w:rPr>
      </w:pPr>
      <w:r w:rsidRPr="00A102D2">
        <w:rPr>
          <w:rFonts w:cs="Times New Roman"/>
          <w:szCs w:val="30"/>
          <w:lang w:val="es-ES_tradnl"/>
        </w:rPr>
        <w:t> </w:t>
      </w:r>
    </w:p>
    <w:p w:rsidR="00A102D2" w:rsidRPr="00A102D2" w:rsidRDefault="00784BFC" w:rsidP="00A102D2">
      <w:pPr>
        <w:widowControl w:val="0"/>
        <w:autoSpaceDE w:val="0"/>
        <w:autoSpaceDN w:val="0"/>
        <w:adjustRightInd w:val="0"/>
        <w:spacing w:after="0"/>
        <w:jc w:val="both"/>
        <w:rPr>
          <w:rFonts w:cs="Times New Roman"/>
          <w:szCs w:val="32"/>
          <w:lang w:val="es-ES_tradnl"/>
        </w:rPr>
      </w:pPr>
      <w:r w:rsidRPr="00A102D2">
        <w:rPr>
          <w:rFonts w:cs="Times New Roman"/>
          <w:szCs w:val="30"/>
          <w:lang w:val="es-ES_tradnl"/>
        </w:rPr>
        <w:t>6.-</w:t>
      </w:r>
      <w:r w:rsidR="00A102D2" w:rsidRPr="00A102D2">
        <w:rPr>
          <w:rFonts w:cs="Times New Roman"/>
          <w:szCs w:val="30"/>
          <w:lang w:val="es-ES_tradnl"/>
        </w:rPr>
        <w:t>Se desea evaluar si el almacenaje de las muestras conteniendo el analito A se ve afectado con el paso del tiempo. Para ello se tomaron cinco muestras diferentes y se analizó en contenido de A dentro de las dos horas siguientes a la toma</w:t>
      </w:r>
      <w:r w:rsidR="00B21641">
        <w:rPr>
          <w:rFonts w:cs="Times New Roman"/>
          <w:szCs w:val="30"/>
          <w:lang w:val="es-ES_tradnl"/>
        </w:rPr>
        <w:t xml:space="preserve"> (recién tomada)</w:t>
      </w:r>
      <w:r w:rsidR="00A102D2" w:rsidRPr="00A102D2">
        <w:rPr>
          <w:rFonts w:cs="Times New Roman"/>
          <w:szCs w:val="30"/>
          <w:lang w:val="es-ES_tradnl"/>
        </w:rPr>
        <w:t xml:space="preserve">. Las muestras se almacenaron en un frigorífico durante una semana y se volvió a determinar el contenido de A en dichas muestras, tras lo cual se dejaron una semana más en el frigorífico para posteriormente ser de nuevo analizado el contenido en A. La siguiente tabla contiene los resultados medios obtenidos, en </w:t>
      </w:r>
      <w:proofErr w:type="spellStart"/>
      <w:r w:rsidR="00A102D2" w:rsidRPr="00A102D2">
        <w:rPr>
          <w:rFonts w:cs="Symbol"/>
          <w:szCs w:val="30"/>
          <w:lang w:val="es-ES_tradnl"/>
        </w:rPr>
        <w:t>m</w:t>
      </w:r>
      <w:r w:rsidR="00A102D2" w:rsidRPr="00A102D2">
        <w:rPr>
          <w:rFonts w:cs="Times New Roman"/>
          <w:szCs w:val="30"/>
          <w:lang w:val="es-ES_tradnl"/>
        </w:rPr>
        <w:t>g</w:t>
      </w:r>
      <w:proofErr w:type="spellEnd"/>
      <w:r w:rsidR="00A102D2" w:rsidRPr="00A102D2">
        <w:rPr>
          <w:rFonts w:cs="Times New Roman"/>
          <w:szCs w:val="30"/>
          <w:lang w:val="es-ES_tradnl"/>
        </w:rPr>
        <w:t xml:space="preserve"> l</w:t>
      </w:r>
      <w:r w:rsidR="00A102D2" w:rsidRPr="00A102D2">
        <w:rPr>
          <w:rFonts w:cs="Times New Roman"/>
          <w:vertAlign w:val="superscript"/>
          <w:lang w:val="es-ES_tradnl"/>
        </w:rPr>
        <w:t>-1</w:t>
      </w:r>
      <w:r w:rsidR="00A102D2" w:rsidRPr="00A102D2">
        <w:rPr>
          <w:rFonts w:cs="Times New Roman"/>
          <w:szCs w:val="30"/>
          <w:lang w:val="es-ES_tradnl"/>
        </w:rPr>
        <w:t>, para cada muestra en cada uno de los análisis semanales realizados:</w:t>
      </w:r>
    </w:p>
    <w:p w:rsidR="00A102D2" w:rsidRPr="00A102D2" w:rsidRDefault="00A102D2" w:rsidP="00A102D2">
      <w:pPr>
        <w:widowControl w:val="0"/>
        <w:autoSpaceDE w:val="0"/>
        <w:autoSpaceDN w:val="0"/>
        <w:adjustRightInd w:val="0"/>
        <w:spacing w:after="0"/>
        <w:jc w:val="both"/>
        <w:rPr>
          <w:rFonts w:cs="Times New Roman"/>
          <w:szCs w:val="32"/>
          <w:lang w:val="es-ES_tradnl"/>
        </w:rPr>
      </w:pPr>
      <w:r w:rsidRPr="00A102D2">
        <w:rPr>
          <w:rFonts w:cs="Times New Roman"/>
          <w:szCs w:val="30"/>
          <w:lang w:val="es-ES_tradnl"/>
        </w:rPr>
        <w:t> </w:t>
      </w:r>
    </w:p>
    <w:tbl>
      <w:tblPr>
        <w:tblW w:w="7885" w:type="dxa"/>
        <w:jc w:val="center"/>
        <w:tblBorders>
          <w:top w:val="nil"/>
          <w:left w:val="nil"/>
          <w:right w:val="nil"/>
        </w:tblBorders>
        <w:tblLayout w:type="fixed"/>
        <w:tblLook w:val="0000"/>
      </w:tblPr>
      <w:tblGrid>
        <w:gridCol w:w="1285"/>
        <w:gridCol w:w="2012"/>
        <w:gridCol w:w="2252"/>
        <w:gridCol w:w="2336"/>
      </w:tblGrid>
      <w:tr w:rsidR="00A102D2" w:rsidRPr="00A102D2">
        <w:tblPrEx>
          <w:tblCellMar>
            <w:top w:w="0" w:type="dxa"/>
            <w:bottom w:w="0" w:type="dxa"/>
          </w:tblCellMar>
        </w:tblPrEx>
        <w:trPr>
          <w:jc w:val="center"/>
        </w:trPr>
        <w:tc>
          <w:tcPr>
            <w:tcW w:w="1285" w:type="dxa"/>
            <w:vMerge w:val="restart"/>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b/>
                <w:bCs/>
                <w:szCs w:val="30"/>
                <w:lang w:val="es-ES_tradnl"/>
              </w:rPr>
            </w:pPr>
          </w:p>
          <w:p w:rsidR="00A102D2" w:rsidRPr="00A102D2" w:rsidRDefault="00A102D2" w:rsidP="00EA2BFE">
            <w:pPr>
              <w:widowControl w:val="0"/>
              <w:autoSpaceDE w:val="0"/>
              <w:autoSpaceDN w:val="0"/>
              <w:adjustRightInd w:val="0"/>
              <w:spacing w:after="0"/>
              <w:jc w:val="center"/>
              <w:rPr>
                <w:rFonts w:cs="Times New Roman"/>
                <w:b/>
                <w:bCs/>
                <w:szCs w:val="30"/>
                <w:lang w:val="es-ES_tradnl"/>
              </w:rPr>
            </w:pPr>
            <w:r w:rsidRPr="00A102D2">
              <w:rPr>
                <w:rFonts w:cs="Times New Roman"/>
                <w:b/>
                <w:bCs/>
                <w:szCs w:val="30"/>
                <w:lang w:val="es-ES_tradnl"/>
              </w:rPr>
              <w:t>Muestra</w:t>
            </w:r>
          </w:p>
        </w:tc>
        <w:tc>
          <w:tcPr>
            <w:tcW w:w="6600" w:type="dxa"/>
            <w:gridSpan w:val="3"/>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Pr>
                <w:rFonts w:cs="Times New Roman"/>
                <w:b/>
                <w:bCs/>
                <w:szCs w:val="30"/>
                <w:lang w:val="es-ES_tradnl"/>
              </w:rPr>
              <w:t>Condició</w:t>
            </w:r>
            <w:r w:rsidRPr="00A102D2">
              <w:rPr>
                <w:rFonts w:cs="Times New Roman"/>
                <w:b/>
                <w:bCs/>
                <w:szCs w:val="30"/>
                <w:lang w:val="es-ES_tradnl"/>
              </w:rPr>
              <w:t>n del análisis</w:t>
            </w:r>
          </w:p>
        </w:tc>
      </w:tr>
      <w:tr w:rsidR="00A102D2" w:rsidRPr="00A102D2">
        <w:tblPrEx>
          <w:tblBorders>
            <w:top w:val="none" w:sz="0" w:space="0" w:color="auto"/>
          </w:tblBorders>
          <w:tblCellMar>
            <w:top w:w="0" w:type="dxa"/>
            <w:bottom w:w="0" w:type="dxa"/>
          </w:tblCellMar>
        </w:tblPrEx>
        <w:trPr>
          <w:jc w:val="center"/>
        </w:trPr>
        <w:tc>
          <w:tcPr>
            <w:tcW w:w="1285" w:type="dxa"/>
            <w:vMerge/>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p>
        </w:tc>
        <w:tc>
          <w:tcPr>
            <w:tcW w:w="201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Recién tomada</w:t>
            </w:r>
          </w:p>
        </w:tc>
        <w:tc>
          <w:tcPr>
            <w:tcW w:w="225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Tras una semana</w:t>
            </w:r>
          </w:p>
        </w:tc>
        <w:tc>
          <w:tcPr>
            <w:tcW w:w="2336"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Tras dos semanas</w:t>
            </w:r>
          </w:p>
        </w:tc>
      </w:tr>
      <w:tr w:rsidR="00A102D2" w:rsidRPr="00A102D2">
        <w:tblPrEx>
          <w:tblBorders>
            <w:top w:val="none" w:sz="0" w:space="0" w:color="auto"/>
          </w:tblBorders>
          <w:tblCellMar>
            <w:top w:w="0" w:type="dxa"/>
            <w:bottom w:w="0" w:type="dxa"/>
          </w:tblCellMar>
        </w:tblPrEx>
        <w:trPr>
          <w:jc w:val="center"/>
        </w:trPr>
        <w:tc>
          <w:tcPr>
            <w:tcW w:w="1285"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1</w:t>
            </w:r>
          </w:p>
        </w:tc>
        <w:tc>
          <w:tcPr>
            <w:tcW w:w="201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134</w:t>
            </w:r>
          </w:p>
        </w:tc>
        <w:tc>
          <w:tcPr>
            <w:tcW w:w="225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138</w:t>
            </w:r>
          </w:p>
        </w:tc>
        <w:tc>
          <w:tcPr>
            <w:tcW w:w="2336"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154</w:t>
            </w:r>
          </w:p>
        </w:tc>
      </w:tr>
      <w:tr w:rsidR="00A102D2" w:rsidRPr="00A102D2">
        <w:tblPrEx>
          <w:tblBorders>
            <w:top w:val="none" w:sz="0" w:space="0" w:color="auto"/>
          </w:tblBorders>
          <w:tblCellMar>
            <w:top w:w="0" w:type="dxa"/>
            <w:bottom w:w="0" w:type="dxa"/>
          </w:tblCellMar>
        </w:tblPrEx>
        <w:trPr>
          <w:jc w:val="center"/>
        </w:trPr>
        <w:tc>
          <w:tcPr>
            <w:tcW w:w="1285"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2</w:t>
            </w:r>
          </w:p>
        </w:tc>
        <w:tc>
          <w:tcPr>
            <w:tcW w:w="201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156</w:t>
            </w:r>
          </w:p>
        </w:tc>
        <w:tc>
          <w:tcPr>
            <w:tcW w:w="225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152</w:t>
            </w:r>
          </w:p>
        </w:tc>
        <w:tc>
          <w:tcPr>
            <w:tcW w:w="2336"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161</w:t>
            </w:r>
          </w:p>
        </w:tc>
      </w:tr>
      <w:tr w:rsidR="00A102D2" w:rsidRPr="00A102D2">
        <w:tblPrEx>
          <w:tblBorders>
            <w:top w:val="none" w:sz="0" w:space="0" w:color="auto"/>
          </w:tblBorders>
          <w:tblCellMar>
            <w:top w:w="0" w:type="dxa"/>
            <w:bottom w:w="0" w:type="dxa"/>
          </w:tblCellMar>
        </w:tblPrEx>
        <w:trPr>
          <w:jc w:val="center"/>
        </w:trPr>
        <w:tc>
          <w:tcPr>
            <w:tcW w:w="1285"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3</w:t>
            </w:r>
          </w:p>
        </w:tc>
        <w:tc>
          <w:tcPr>
            <w:tcW w:w="201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156</w:t>
            </w:r>
          </w:p>
        </w:tc>
        <w:tc>
          <w:tcPr>
            <w:tcW w:w="225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146</w:t>
            </w:r>
          </w:p>
        </w:tc>
        <w:tc>
          <w:tcPr>
            <w:tcW w:w="2336"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159</w:t>
            </w:r>
          </w:p>
        </w:tc>
      </w:tr>
      <w:tr w:rsidR="00A102D2" w:rsidRPr="00A102D2">
        <w:tblPrEx>
          <w:tblBorders>
            <w:top w:val="none" w:sz="0" w:space="0" w:color="auto"/>
          </w:tblBorders>
          <w:tblCellMar>
            <w:top w:w="0" w:type="dxa"/>
            <w:bottom w:w="0" w:type="dxa"/>
          </w:tblCellMar>
        </w:tblPrEx>
        <w:trPr>
          <w:jc w:val="center"/>
        </w:trPr>
        <w:tc>
          <w:tcPr>
            <w:tcW w:w="1285"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4</w:t>
            </w:r>
          </w:p>
        </w:tc>
        <w:tc>
          <w:tcPr>
            <w:tcW w:w="201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140</w:t>
            </w:r>
          </w:p>
        </w:tc>
        <w:tc>
          <w:tcPr>
            <w:tcW w:w="225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138</w:t>
            </w:r>
          </w:p>
        </w:tc>
        <w:tc>
          <w:tcPr>
            <w:tcW w:w="2336"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165</w:t>
            </w:r>
          </w:p>
        </w:tc>
      </w:tr>
      <w:tr w:rsidR="00A102D2" w:rsidRPr="00A102D2">
        <w:tblPrEx>
          <w:tblCellMar>
            <w:top w:w="0" w:type="dxa"/>
            <w:bottom w:w="0" w:type="dxa"/>
          </w:tblCellMar>
        </w:tblPrEx>
        <w:trPr>
          <w:jc w:val="center"/>
        </w:trPr>
        <w:tc>
          <w:tcPr>
            <w:tcW w:w="1285"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b/>
                <w:bCs/>
                <w:szCs w:val="30"/>
                <w:lang w:val="es-ES_tradnl"/>
              </w:rPr>
              <w:t>5</w:t>
            </w:r>
          </w:p>
        </w:tc>
        <w:tc>
          <w:tcPr>
            <w:tcW w:w="201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138</w:t>
            </w:r>
          </w:p>
        </w:tc>
        <w:tc>
          <w:tcPr>
            <w:tcW w:w="2252"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142</w:t>
            </w:r>
          </w:p>
        </w:tc>
        <w:tc>
          <w:tcPr>
            <w:tcW w:w="2336" w:type="dxa"/>
            <w:tcMar>
              <w:top w:w="80" w:type="nil"/>
              <w:right w:w="80" w:type="nil"/>
            </w:tcMar>
          </w:tcPr>
          <w:p w:rsidR="00A102D2" w:rsidRPr="00A102D2" w:rsidRDefault="00A102D2" w:rsidP="00EA2BFE">
            <w:pPr>
              <w:widowControl w:val="0"/>
              <w:autoSpaceDE w:val="0"/>
              <w:autoSpaceDN w:val="0"/>
              <w:adjustRightInd w:val="0"/>
              <w:spacing w:after="0"/>
              <w:jc w:val="center"/>
              <w:rPr>
                <w:rFonts w:cs="Times New Roman"/>
                <w:szCs w:val="32"/>
                <w:lang w:val="es-ES_tradnl"/>
              </w:rPr>
            </w:pPr>
            <w:r w:rsidRPr="00A102D2">
              <w:rPr>
                <w:rFonts w:cs="Times New Roman"/>
                <w:szCs w:val="30"/>
                <w:lang w:val="es-ES_tradnl"/>
              </w:rPr>
              <w:t>151</w:t>
            </w:r>
          </w:p>
        </w:tc>
      </w:tr>
    </w:tbl>
    <w:p w:rsidR="00A102D2" w:rsidRPr="00A102D2" w:rsidRDefault="00A102D2" w:rsidP="00A102D2">
      <w:pPr>
        <w:widowControl w:val="0"/>
        <w:autoSpaceDE w:val="0"/>
        <w:autoSpaceDN w:val="0"/>
        <w:adjustRightInd w:val="0"/>
        <w:spacing w:after="0"/>
        <w:jc w:val="both"/>
        <w:rPr>
          <w:rFonts w:cs="Times New Roman"/>
          <w:szCs w:val="32"/>
          <w:lang w:val="es-ES_tradnl"/>
        </w:rPr>
      </w:pPr>
      <w:r w:rsidRPr="00A102D2">
        <w:rPr>
          <w:rFonts w:cs="Times New Roman"/>
          <w:szCs w:val="30"/>
          <w:lang w:val="es-ES_tradnl"/>
        </w:rPr>
        <w:t> </w:t>
      </w:r>
    </w:p>
    <w:p w:rsidR="00784BFC" w:rsidRPr="00A102D2" w:rsidRDefault="00A102D2" w:rsidP="00A102D2">
      <w:pPr>
        <w:spacing w:after="0"/>
        <w:jc w:val="both"/>
      </w:pPr>
      <w:r w:rsidRPr="00A102D2">
        <w:rPr>
          <w:rFonts w:cs="Times New Roman"/>
          <w:szCs w:val="30"/>
          <w:lang w:val="es-ES_tradnl"/>
        </w:rPr>
        <w:t> </w:t>
      </w:r>
      <w:r w:rsidR="00B21641">
        <w:rPr>
          <w:rFonts w:cs="Times New Roman"/>
          <w:szCs w:val="30"/>
          <w:lang w:val="es-ES_tradnl"/>
        </w:rPr>
        <w:t>¿Existe evidencia de que el contenido de A varía con el tiempo bajo las condiciones dadas en el experimento?</w:t>
      </w:r>
      <w:r w:rsidR="006A7108">
        <w:rPr>
          <w:rFonts w:cs="Times New Roman"/>
          <w:szCs w:val="30"/>
          <w:lang w:val="es-ES_tradnl"/>
        </w:rPr>
        <w:t xml:space="preserve"> (10 puntos)</w:t>
      </w:r>
    </w:p>
    <w:sectPr w:rsidR="00784BFC" w:rsidRPr="00A102D2" w:rsidSect="00784BFC">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808B9"/>
    <w:rsid w:val="003D4B65"/>
    <w:rsid w:val="00616A25"/>
    <w:rsid w:val="006808B9"/>
    <w:rsid w:val="006A7108"/>
    <w:rsid w:val="00784BFC"/>
    <w:rsid w:val="0092555C"/>
    <w:rsid w:val="00A102D2"/>
    <w:rsid w:val="00A91969"/>
    <w:rsid w:val="00B21641"/>
    <w:rsid w:val="00CD7AF7"/>
    <w:rsid w:val="00E73295"/>
    <w:rsid w:val="00EA2BFE"/>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F9"/>
    <w:rPr>
      <w:lang w:val="en-GB"/>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288</Words>
  <Characters>1644</Characters>
  <Application>Microsoft Word 12.0.0</Application>
  <DocSecurity>0</DocSecurity>
  <Lines>13</Lines>
  <Paragraphs>3</Paragraphs>
  <ScaleCrop>false</ScaleCrop>
  <Company>...</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CTT-ESPOL</dc:creator>
  <cp:keywords/>
  <cp:lastModifiedBy>CTT-ESPOL</cp:lastModifiedBy>
  <cp:revision>10</cp:revision>
  <dcterms:created xsi:type="dcterms:W3CDTF">2010-12-13T03:39:00Z</dcterms:created>
  <dcterms:modified xsi:type="dcterms:W3CDTF">2010-12-13T04:12:00Z</dcterms:modified>
</cp:coreProperties>
</file>