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B5" w:rsidRPr="00C47106" w:rsidRDefault="00591989" w:rsidP="00990F04">
      <w:pPr>
        <w:spacing w:after="0" w:line="240" w:lineRule="auto"/>
        <w:jc w:val="center"/>
        <w:rPr>
          <w:rFonts w:ascii="Century" w:eastAsia="Dotum" w:hAnsi="Century" w:cs="Calibri"/>
          <w:b/>
          <w:sz w:val="20"/>
          <w:szCs w:val="24"/>
        </w:rPr>
      </w:pPr>
      <w:r>
        <w:rPr>
          <w:rFonts w:ascii="Century" w:eastAsia="Dotum" w:hAnsi="Century" w:cs="Calibri"/>
          <w:noProof/>
          <w:sz w:val="20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67945</wp:posOffset>
            </wp:positionV>
            <wp:extent cx="659130" cy="617855"/>
            <wp:effectExtent l="19050" t="0" r="762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eastAsia="Dotum" w:hAnsi="Century" w:cs="Calibri"/>
          <w:noProof/>
          <w:sz w:val="20"/>
          <w:szCs w:val="24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36195</wp:posOffset>
            </wp:positionV>
            <wp:extent cx="607695" cy="607695"/>
            <wp:effectExtent l="1905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9D7" w:rsidRPr="00C47106">
        <w:rPr>
          <w:rFonts w:ascii="Century" w:eastAsia="Dotum" w:hAnsi="Century" w:cs="Calibri"/>
          <w:b/>
          <w:sz w:val="20"/>
          <w:szCs w:val="24"/>
        </w:rPr>
        <w:t>ESCUELA SUPERIOR POLITÉCNICA DEL LITORAL</w:t>
      </w:r>
    </w:p>
    <w:p w:rsidR="00AD69D7" w:rsidRPr="00C47106" w:rsidRDefault="00AD69D7" w:rsidP="00990F04">
      <w:pPr>
        <w:spacing w:after="0" w:line="240" w:lineRule="auto"/>
        <w:jc w:val="center"/>
        <w:rPr>
          <w:rFonts w:ascii="Century" w:eastAsia="Dotum" w:hAnsi="Century" w:cs="Calibri"/>
          <w:b/>
          <w:sz w:val="20"/>
          <w:szCs w:val="24"/>
        </w:rPr>
      </w:pPr>
      <w:r w:rsidRPr="00C47106">
        <w:rPr>
          <w:rFonts w:ascii="Century" w:eastAsia="Dotum" w:hAnsi="Century" w:cs="Calibri"/>
          <w:b/>
          <w:sz w:val="20"/>
          <w:szCs w:val="24"/>
        </w:rPr>
        <w:t>FACULTAD DE ECONOMÍA Y NEGOCIOS</w:t>
      </w:r>
    </w:p>
    <w:p w:rsidR="00AD69D7" w:rsidRPr="00C47106" w:rsidRDefault="00AD69D7" w:rsidP="00990F04">
      <w:pPr>
        <w:spacing w:after="0" w:line="240" w:lineRule="auto"/>
        <w:jc w:val="center"/>
        <w:rPr>
          <w:rFonts w:ascii="Century" w:eastAsia="Dotum" w:hAnsi="Century" w:cs="Calibri"/>
          <w:b/>
          <w:sz w:val="20"/>
          <w:szCs w:val="24"/>
        </w:rPr>
      </w:pPr>
    </w:p>
    <w:p w:rsidR="00AD69D7" w:rsidRPr="00C47106" w:rsidRDefault="00A9316F" w:rsidP="00990F04">
      <w:pPr>
        <w:spacing w:after="0" w:line="240" w:lineRule="auto"/>
        <w:jc w:val="center"/>
        <w:rPr>
          <w:rFonts w:ascii="Century" w:eastAsia="Dotum" w:hAnsi="Century" w:cs="Calibri"/>
          <w:b/>
          <w:sz w:val="20"/>
          <w:szCs w:val="24"/>
          <w:u w:val="single"/>
        </w:rPr>
      </w:pPr>
      <w:r w:rsidRPr="00C47106">
        <w:rPr>
          <w:rFonts w:ascii="Century" w:eastAsia="Dotum" w:hAnsi="Century" w:cs="Calibri"/>
          <w:b/>
          <w:szCs w:val="24"/>
          <w:u w:val="single"/>
        </w:rPr>
        <w:t xml:space="preserve">EXAMEN PARCIAL DE </w:t>
      </w:r>
      <w:r w:rsidR="004E3270" w:rsidRPr="00C47106">
        <w:rPr>
          <w:rFonts w:ascii="Century" w:eastAsia="Dotum" w:hAnsi="Century" w:cs="Calibri"/>
          <w:b/>
          <w:szCs w:val="24"/>
          <w:u w:val="single"/>
        </w:rPr>
        <w:t xml:space="preserve">CONTABILIDAD </w:t>
      </w:r>
      <w:r w:rsidR="00AD69D7" w:rsidRPr="00C47106">
        <w:rPr>
          <w:rFonts w:ascii="Century" w:eastAsia="Dotum" w:hAnsi="Century" w:cs="Calibri"/>
          <w:b/>
          <w:szCs w:val="24"/>
          <w:u w:val="single"/>
        </w:rPr>
        <w:t>II</w:t>
      </w:r>
      <w:r w:rsidR="00B46866" w:rsidRPr="00C47106">
        <w:rPr>
          <w:rFonts w:ascii="Century" w:eastAsia="Dotum" w:hAnsi="Century" w:cs="Calibri"/>
          <w:b/>
          <w:szCs w:val="24"/>
          <w:u w:val="single"/>
        </w:rPr>
        <w:t xml:space="preserve"> </w:t>
      </w:r>
    </w:p>
    <w:p w:rsidR="00AD69D7" w:rsidRPr="00C47106" w:rsidRDefault="00AD69D7" w:rsidP="00990F04">
      <w:pPr>
        <w:spacing w:after="0" w:line="240" w:lineRule="auto"/>
        <w:jc w:val="center"/>
        <w:rPr>
          <w:rFonts w:ascii="Century" w:eastAsia="Dotum" w:hAnsi="Century" w:cs="Calibri"/>
          <w:b/>
          <w:sz w:val="20"/>
          <w:szCs w:val="24"/>
        </w:rPr>
      </w:pPr>
    </w:p>
    <w:p w:rsidR="00AD69D7" w:rsidRPr="00C47106" w:rsidRDefault="00AD69D7" w:rsidP="00990F04">
      <w:pPr>
        <w:spacing w:after="0" w:line="240" w:lineRule="auto"/>
        <w:rPr>
          <w:rFonts w:ascii="Century" w:eastAsia="Dotum" w:hAnsi="Century" w:cs="Calibri"/>
          <w:b/>
          <w:sz w:val="20"/>
          <w:szCs w:val="24"/>
        </w:rPr>
      </w:pPr>
      <w:r w:rsidRPr="00C47106">
        <w:rPr>
          <w:rFonts w:ascii="Century" w:eastAsia="Dotum" w:hAnsi="Century" w:cs="Calibri"/>
          <w:b/>
          <w:sz w:val="20"/>
          <w:szCs w:val="24"/>
        </w:rPr>
        <w:t xml:space="preserve">NOMBRE: </w:t>
      </w:r>
      <w:r w:rsidRPr="00C47106">
        <w:rPr>
          <w:rFonts w:ascii="Century" w:eastAsia="Dotum" w:hAnsi="Century" w:cs="Calibri"/>
          <w:sz w:val="20"/>
          <w:szCs w:val="24"/>
        </w:rPr>
        <w:t>______________</w:t>
      </w:r>
      <w:r w:rsidR="00990F04" w:rsidRPr="00C47106">
        <w:rPr>
          <w:rFonts w:ascii="Century" w:eastAsia="Dotum" w:hAnsi="Century" w:cs="Calibri"/>
          <w:sz w:val="20"/>
          <w:szCs w:val="24"/>
        </w:rPr>
        <w:t>______</w:t>
      </w:r>
      <w:r w:rsidRPr="00C47106">
        <w:rPr>
          <w:rFonts w:ascii="Century" w:eastAsia="Dotum" w:hAnsi="Century" w:cs="Calibri"/>
          <w:sz w:val="20"/>
          <w:szCs w:val="24"/>
        </w:rPr>
        <w:t>___</w:t>
      </w:r>
      <w:r w:rsidR="004E3270" w:rsidRPr="00C47106">
        <w:rPr>
          <w:rFonts w:ascii="Century" w:eastAsia="Dotum" w:hAnsi="Century" w:cs="Calibri"/>
          <w:sz w:val="20"/>
          <w:szCs w:val="24"/>
        </w:rPr>
        <w:t>________________________</w:t>
      </w:r>
      <w:r w:rsidR="004E3270" w:rsidRPr="00C47106">
        <w:rPr>
          <w:rFonts w:ascii="Century" w:eastAsia="Dotum" w:hAnsi="Century" w:cs="Calibri"/>
          <w:sz w:val="20"/>
          <w:szCs w:val="24"/>
        </w:rPr>
        <w:tab/>
      </w:r>
      <w:r w:rsidR="00990F04" w:rsidRPr="00C47106">
        <w:rPr>
          <w:rFonts w:ascii="Century" w:eastAsia="Dotum" w:hAnsi="Century" w:cs="Calibri"/>
          <w:sz w:val="20"/>
          <w:szCs w:val="24"/>
        </w:rPr>
        <w:tab/>
      </w:r>
      <w:r w:rsidR="004E3270" w:rsidRPr="00C47106">
        <w:rPr>
          <w:rFonts w:ascii="Century" w:eastAsia="Dotum" w:hAnsi="Century" w:cs="Calibri"/>
          <w:b/>
          <w:sz w:val="20"/>
          <w:szCs w:val="24"/>
        </w:rPr>
        <w:t>PARALELO: 323</w:t>
      </w:r>
    </w:p>
    <w:p w:rsidR="00AD69D7" w:rsidRPr="00C47106" w:rsidRDefault="00AD69D7" w:rsidP="00990F04">
      <w:pPr>
        <w:spacing w:after="0" w:line="240" w:lineRule="auto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b/>
          <w:sz w:val="20"/>
          <w:szCs w:val="24"/>
        </w:rPr>
        <w:t>PROFESOR:</w:t>
      </w:r>
      <w:r w:rsidRPr="00C47106">
        <w:rPr>
          <w:rFonts w:ascii="Century" w:eastAsia="Dotum" w:hAnsi="Century" w:cs="Calibri"/>
          <w:sz w:val="20"/>
          <w:szCs w:val="24"/>
        </w:rPr>
        <w:t xml:space="preserve"> MSc. Gabriela Vilela Govea</w:t>
      </w:r>
    </w:p>
    <w:p w:rsidR="00AD69D7" w:rsidRPr="00C47106" w:rsidRDefault="00AD69D7" w:rsidP="00990F04">
      <w:pPr>
        <w:spacing w:after="0" w:line="240" w:lineRule="auto"/>
        <w:rPr>
          <w:rFonts w:ascii="Century" w:eastAsia="Dotum" w:hAnsi="Century" w:cs="Calibri"/>
          <w:sz w:val="20"/>
          <w:szCs w:val="24"/>
        </w:rPr>
      </w:pPr>
    </w:p>
    <w:p w:rsidR="00990F04" w:rsidRPr="00C47106" w:rsidRDefault="00990F04" w:rsidP="00990F04">
      <w:pPr>
        <w:spacing w:after="0" w:line="240" w:lineRule="auto"/>
        <w:rPr>
          <w:rFonts w:ascii="Century" w:eastAsia="Dotum" w:hAnsi="Century" w:cs="Calibri"/>
          <w:sz w:val="20"/>
          <w:szCs w:val="24"/>
        </w:rPr>
      </w:pPr>
    </w:p>
    <w:p w:rsidR="00A9316F" w:rsidRPr="00C47106" w:rsidRDefault="009B3496" w:rsidP="00990F04">
      <w:pPr>
        <w:spacing w:after="0" w:line="240" w:lineRule="auto"/>
        <w:rPr>
          <w:rFonts w:ascii="Century" w:eastAsia="Dotum" w:hAnsi="Century" w:cs="Calibri"/>
          <w:b/>
          <w:sz w:val="20"/>
          <w:szCs w:val="24"/>
        </w:rPr>
      </w:pPr>
      <w:r w:rsidRPr="00C47106">
        <w:rPr>
          <w:rFonts w:ascii="Century" w:eastAsia="Dotum" w:hAnsi="Century" w:cs="Calibri"/>
          <w:b/>
          <w:sz w:val="20"/>
          <w:szCs w:val="24"/>
          <w:u w:val="single"/>
        </w:rPr>
        <w:t>I PARTE - OPCIÓN MÚLTIPLE:</w:t>
      </w:r>
      <w:r w:rsidR="00A9316F" w:rsidRPr="00C47106">
        <w:rPr>
          <w:rFonts w:ascii="Century" w:eastAsia="Dotum" w:hAnsi="Century" w:cs="Calibri"/>
          <w:b/>
          <w:sz w:val="20"/>
          <w:szCs w:val="24"/>
          <w:u w:val="single"/>
        </w:rPr>
        <w:t xml:space="preserve"> Elija la respuesta correcta. Justifique.</w:t>
      </w:r>
      <w:r w:rsidR="000633B5" w:rsidRPr="00C47106">
        <w:rPr>
          <w:rFonts w:ascii="Century" w:eastAsia="Dotum" w:hAnsi="Century" w:cs="Calibri"/>
          <w:b/>
          <w:sz w:val="20"/>
          <w:szCs w:val="24"/>
        </w:rPr>
        <w:t xml:space="preserve"> (30 puntos)</w:t>
      </w:r>
    </w:p>
    <w:p w:rsidR="00A9316F" w:rsidRPr="00C47106" w:rsidRDefault="00A9316F" w:rsidP="00990F04">
      <w:pPr>
        <w:spacing w:after="0" w:line="240" w:lineRule="auto"/>
        <w:rPr>
          <w:rFonts w:ascii="Century" w:eastAsia="Dotum" w:hAnsi="Century" w:cs="Calibri"/>
          <w:sz w:val="20"/>
          <w:szCs w:val="24"/>
        </w:rPr>
      </w:pPr>
    </w:p>
    <w:p w:rsidR="00A9316F" w:rsidRPr="00C47106" w:rsidRDefault="004A208C" w:rsidP="00990F04">
      <w:pPr>
        <w:numPr>
          <w:ilvl w:val="0"/>
          <w:numId w:val="2"/>
        </w:numPr>
        <w:spacing w:after="0" w:line="240" w:lineRule="auto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Identifique, entre los siguientes, cuál no es un comprobante de venta válido por el SRI:</w:t>
      </w:r>
    </w:p>
    <w:p w:rsidR="004A208C" w:rsidRPr="00C47106" w:rsidRDefault="004A208C" w:rsidP="00990F04">
      <w:pPr>
        <w:numPr>
          <w:ilvl w:val="0"/>
          <w:numId w:val="6"/>
        </w:numPr>
        <w:spacing w:after="0" w:line="240" w:lineRule="auto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Notas o boletas de venta</w:t>
      </w:r>
    </w:p>
    <w:p w:rsidR="004A208C" w:rsidRPr="00C47106" w:rsidRDefault="004A208C" w:rsidP="00990F04">
      <w:pPr>
        <w:numPr>
          <w:ilvl w:val="0"/>
          <w:numId w:val="6"/>
        </w:numPr>
        <w:spacing w:after="0" w:line="240" w:lineRule="auto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Liquidación de compras o servicios</w:t>
      </w:r>
    </w:p>
    <w:p w:rsidR="004A208C" w:rsidRPr="00C47106" w:rsidRDefault="004A208C" w:rsidP="00990F04">
      <w:pPr>
        <w:numPr>
          <w:ilvl w:val="0"/>
          <w:numId w:val="6"/>
        </w:numPr>
        <w:spacing w:after="0" w:line="240" w:lineRule="auto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Recibos</w:t>
      </w:r>
    </w:p>
    <w:p w:rsidR="004A208C" w:rsidRPr="00C47106" w:rsidRDefault="004A208C" w:rsidP="00990F04">
      <w:pPr>
        <w:numPr>
          <w:ilvl w:val="0"/>
          <w:numId w:val="6"/>
        </w:numPr>
        <w:spacing w:after="0" w:line="240" w:lineRule="auto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Facturas</w:t>
      </w:r>
    </w:p>
    <w:p w:rsidR="00160BE2" w:rsidRPr="00C47106" w:rsidRDefault="00160BE2" w:rsidP="00990F04">
      <w:pPr>
        <w:spacing w:after="0" w:line="240" w:lineRule="auto"/>
        <w:rPr>
          <w:rFonts w:ascii="Century" w:eastAsia="Dotum" w:hAnsi="Century" w:cs="Calibri"/>
          <w:sz w:val="20"/>
          <w:szCs w:val="24"/>
        </w:rPr>
      </w:pPr>
    </w:p>
    <w:p w:rsidR="00A50D85" w:rsidRPr="00C47106" w:rsidRDefault="00A50D85" w:rsidP="00990F04">
      <w:pPr>
        <w:numPr>
          <w:ilvl w:val="0"/>
          <w:numId w:val="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El efecto de un decremento en las cuentas por cobrar clientes al momento de realizar el Estado de Flujo de Efectivo es:</w:t>
      </w:r>
    </w:p>
    <w:p w:rsidR="00A50D85" w:rsidRPr="00C47106" w:rsidRDefault="00A50D85" w:rsidP="00990F04">
      <w:pPr>
        <w:tabs>
          <w:tab w:val="left" w:pos="993"/>
        </w:tabs>
        <w:spacing w:after="0" w:line="240" w:lineRule="auto"/>
        <w:ind w:left="644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a)</w:t>
      </w:r>
      <w:r w:rsidRPr="00C47106">
        <w:rPr>
          <w:rFonts w:ascii="Century" w:eastAsia="Dotum" w:hAnsi="Century" w:cs="Calibri"/>
          <w:sz w:val="20"/>
          <w:szCs w:val="24"/>
        </w:rPr>
        <w:tab/>
        <w:t>Negativo</w:t>
      </w:r>
    </w:p>
    <w:p w:rsidR="00A50D85" w:rsidRPr="00C47106" w:rsidRDefault="00A50D85" w:rsidP="00990F04">
      <w:pPr>
        <w:tabs>
          <w:tab w:val="left" w:pos="993"/>
        </w:tabs>
        <w:spacing w:after="0" w:line="240" w:lineRule="auto"/>
        <w:ind w:left="644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b)</w:t>
      </w:r>
      <w:r w:rsidRPr="00C47106">
        <w:rPr>
          <w:rFonts w:ascii="Century" w:eastAsia="Dotum" w:hAnsi="Century" w:cs="Calibri"/>
          <w:sz w:val="20"/>
          <w:szCs w:val="24"/>
        </w:rPr>
        <w:tab/>
        <w:t>Positivo</w:t>
      </w:r>
    </w:p>
    <w:p w:rsidR="00A50D85" w:rsidRPr="00C47106" w:rsidRDefault="00A50D85" w:rsidP="00990F04">
      <w:pPr>
        <w:tabs>
          <w:tab w:val="left" w:pos="993"/>
        </w:tabs>
        <w:spacing w:after="0" w:line="240" w:lineRule="auto"/>
        <w:ind w:left="644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c)</w:t>
      </w:r>
      <w:r w:rsidRPr="00C47106">
        <w:rPr>
          <w:rFonts w:ascii="Century" w:eastAsia="Dotum" w:hAnsi="Century" w:cs="Calibri"/>
          <w:sz w:val="20"/>
          <w:szCs w:val="24"/>
        </w:rPr>
        <w:tab/>
        <w:t>No aplica para el flujo</w:t>
      </w:r>
    </w:p>
    <w:p w:rsidR="00317525" w:rsidRPr="00C47106" w:rsidRDefault="00A50D85" w:rsidP="00990F04">
      <w:pPr>
        <w:tabs>
          <w:tab w:val="left" w:pos="993"/>
        </w:tabs>
        <w:spacing w:after="0" w:line="240" w:lineRule="auto"/>
        <w:ind w:left="644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d)</w:t>
      </w:r>
      <w:r w:rsidRPr="00C47106">
        <w:rPr>
          <w:rFonts w:ascii="Century" w:eastAsia="Dotum" w:hAnsi="Century" w:cs="Calibri"/>
          <w:sz w:val="20"/>
          <w:szCs w:val="24"/>
        </w:rPr>
        <w:tab/>
        <w:t>Ninguna de las anteriores</w:t>
      </w:r>
    </w:p>
    <w:p w:rsidR="004A208C" w:rsidRPr="00C47106" w:rsidRDefault="004A208C" w:rsidP="00990F04">
      <w:pPr>
        <w:spacing w:after="0" w:line="240" w:lineRule="auto"/>
        <w:rPr>
          <w:rFonts w:ascii="Century" w:eastAsia="Dotum" w:hAnsi="Century" w:cs="Calibri"/>
          <w:sz w:val="20"/>
          <w:szCs w:val="24"/>
        </w:rPr>
      </w:pPr>
    </w:p>
    <w:p w:rsidR="00A50D85" w:rsidRPr="00C47106" w:rsidRDefault="00AB0BC1" w:rsidP="00990F04">
      <w:pPr>
        <w:numPr>
          <w:ilvl w:val="0"/>
          <w:numId w:val="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¿Cuál de las siguientes es la norma encargada de especificar cómo las entidades deben llevar a cabo la transición hacia la adopción de las NIIF para la presentación de sus Estados Financieros?:</w:t>
      </w:r>
    </w:p>
    <w:p w:rsidR="00AB0BC1" w:rsidRPr="00C47106" w:rsidRDefault="00AB0BC1" w:rsidP="00990F04">
      <w:pPr>
        <w:numPr>
          <w:ilvl w:val="0"/>
          <w:numId w:val="9"/>
        </w:numPr>
        <w:spacing w:after="0" w:line="240" w:lineRule="auto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NIC 18</w:t>
      </w:r>
    </w:p>
    <w:p w:rsidR="00AB0BC1" w:rsidRPr="00C47106" w:rsidRDefault="00AB0BC1" w:rsidP="00990F04">
      <w:pPr>
        <w:numPr>
          <w:ilvl w:val="0"/>
          <w:numId w:val="9"/>
        </w:numPr>
        <w:spacing w:after="0" w:line="240" w:lineRule="auto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NIIF 1</w:t>
      </w:r>
    </w:p>
    <w:p w:rsidR="00AB0BC1" w:rsidRPr="00C47106" w:rsidRDefault="00AB0BC1" w:rsidP="00990F04">
      <w:pPr>
        <w:numPr>
          <w:ilvl w:val="0"/>
          <w:numId w:val="9"/>
        </w:numPr>
        <w:spacing w:after="0" w:line="240" w:lineRule="auto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NIC 8</w:t>
      </w:r>
    </w:p>
    <w:p w:rsidR="00AB0BC1" w:rsidRPr="00C47106" w:rsidRDefault="00AB0BC1" w:rsidP="00990F04">
      <w:pPr>
        <w:numPr>
          <w:ilvl w:val="0"/>
          <w:numId w:val="9"/>
        </w:numPr>
        <w:spacing w:after="0" w:line="240" w:lineRule="auto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Todas las anteriores</w:t>
      </w:r>
    </w:p>
    <w:p w:rsidR="00A50D85" w:rsidRPr="00C47106" w:rsidRDefault="00A50D85" w:rsidP="00990F04">
      <w:pPr>
        <w:spacing w:after="0" w:line="240" w:lineRule="auto"/>
        <w:rPr>
          <w:rFonts w:ascii="Century" w:eastAsia="Dotum" w:hAnsi="Century" w:cs="Calibri"/>
          <w:sz w:val="20"/>
          <w:szCs w:val="24"/>
        </w:rPr>
      </w:pPr>
    </w:p>
    <w:p w:rsidR="00AB0BC1" w:rsidRPr="00C47106" w:rsidRDefault="001731DE" w:rsidP="00990F04">
      <w:pPr>
        <w:numPr>
          <w:ilvl w:val="0"/>
          <w:numId w:val="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El período de declaración y pago del Impuesto a la Renta para Personas Naturales es:</w:t>
      </w:r>
    </w:p>
    <w:p w:rsidR="001731DE" w:rsidRPr="00C47106" w:rsidRDefault="001731DE" w:rsidP="00990F04">
      <w:pPr>
        <w:numPr>
          <w:ilvl w:val="0"/>
          <w:numId w:val="11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Mensual</w:t>
      </w:r>
    </w:p>
    <w:p w:rsidR="001731DE" w:rsidRPr="00C47106" w:rsidRDefault="001731DE" w:rsidP="00990F04">
      <w:pPr>
        <w:numPr>
          <w:ilvl w:val="0"/>
          <w:numId w:val="11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Trimestral</w:t>
      </w:r>
    </w:p>
    <w:p w:rsidR="001731DE" w:rsidRPr="00C47106" w:rsidRDefault="001731DE" w:rsidP="00990F04">
      <w:pPr>
        <w:numPr>
          <w:ilvl w:val="0"/>
          <w:numId w:val="11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Semestral</w:t>
      </w:r>
    </w:p>
    <w:p w:rsidR="001731DE" w:rsidRPr="00C47106" w:rsidRDefault="001731DE" w:rsidP="00990F04">
      <w:pPr>
        <w:numPr>
          <w:ilvl w:val="0"/>
          <w:numId w:val="11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Anual</w:t>
      </w:r>
    </w:p>
    <w:p w:rsidR="001731DE" w:rsidRPr="00C47106" w:rsidRDefault="001731DE" w:rsidP="00990F04">
      <w:p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</w:p>
    <w:p w:rsidR="001731DE" w:rsidRPr="00C47106" w:rsidRDefault="0018577F" w:rsidP="00990F04">
      <w:pPr>
        <w:numPr>
          <w:ilvl w:val="0"/>
          <w:numId w:val="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Los porcentajes correspondientes a la retención en la fuente del Impuesto al Valor Agregado que se debe realizar en nuestro país son:</w:t>
      </w:r>
    </w:p>
    <w:p w:rsidR="0018577F" w:rsidRPr="00C47106" w:rsidRDefault="0018577F" w:rsidP="00990F04">
      <w:pPr>
        <w:numPr>
          <w:ilvl w:val="0"/>
          <w:numId w:val="1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15%, 25% y 30%</w:t>
      </w:r>
    </w:p>
    <w:p w:rsidR="0018577F" w:rsidRPr="00C47106" w:rsidRDefault="0018577F" w:rsidP="00990F04">
      <w:pPr>
        <w:numPr>
          <w:ilvl w:val="0"/>
          <w:numId w:val="1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5%, 20% y 50%</w:t>
      </w:r>
    </w:p>
    <w:p w:rsidR="0018577F" w:rsidRPr="00C47106" w:rsidRDefault="0018577F" w:rsidP="00990F04">
      <w:pPr>
        <w:numPr>
          <w:ilvl w:val="0"/>
          <w:numId w:val="1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1%, 2% y 10%</w:t>
      </w:r>
    </w:p>
    <w:p w:rsidR="0018577F" w:rsidRPr="00C47106" w:rsidRDefault="0018577F" w:rsidP="00990F04">
      <w:pPr>
        <w:numPr>
          <w:ilvl w:val="0"/>
          <w:numId w:val="1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Ninguna de las anteriores</w:t>
      </w:r>
    </w:p>
    <w:p w:rsidR="0018577F" w:rsidRPr="00C47106" w:rsidRDefault="0018577F" w:rsidP="00990F04">
      <w:p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</w:p>
    <w:p w:rsidR="0018577F" w:rsidRPr="00C47106" w:rsidRDefault="00552634" w:rsidP="00990F04">
      <w:pPr>
        <w:numPr>
          <w:ilvl w:val="0"/>
          <w:numId w:val="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Uno de los siguientes corresponde a un tipo de gasto que puede ser considerado por las personas naturales como deducible de impuestos:</w:t>
      </w:r>
    </w:p>
    <w:p w:rsidR="00552634" w:rsidRPr="00C47106" w:rsidRDefault="00552634" w:rsidP="00990F04">
      <w:pPr>
        <w:numPr>
          <w:ilvl w:val="0"/>
          <w:numId w:val="13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Gastos realizados por remodelación de vivienda.</w:t>
      </w:r>
    </w:p>
    <w:p w:rsidR="00552634" w:rsidRPr="00C47106" w:rsidRDefault="00552634" w:rsidP="00990F04">
      <w:pPr>
        <w:numPr>
          <w:ilvl w:val="0"/>
          <w:numId w:val="13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Gastos realizados por servicios prestados por centros de cuidado infantil.</w:t>
      </w:r>
    </w:p>
    <w:p w:rsidR="00552634" w:rsidRPr="00C47106" w:rsidRDefault="00552634" w:rsidP="00990F04">
      <w:pPr>
        <w:numPr>
          <w:ilvl w:val="0"/>
          <w:numId w:val="13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Gastos realizados por compras de alimentos para </w:t>
      </w:r>
      <w:r w:rsidR="00C617CC" w:rsidRPr="00C47106">
        <w:rPr>
          <w:rFonts w:ascii="Century" w:eastAsia="Dotum" w:hAnsi="Century" w:cs="Calibri"/>
          <w:sz w:val="20"/>
          <w:szCs w:val="24"/>
        </w:rPr>
        <w:t xml:space="preserve">consumo de </w:t>
      </w:r>
      <w:r w:rsidRPr="00C47106">
        <w:rPr>
          <w:rFonts w:ascii="Century" w:eastAsia="Dotum" w:hAnsi="Century" w:cs="Calibri"/>
          <w:sz w:val="20"/>
          <w:szCs w:val="24"/>
        </w:rPr>
        <w:t>animales</w:t>
      </w:r>
      <w:r w:rsidR="00C617CC" w:rsidRPr="00C47106">
        <w:rPr>
          <w:rFonts w:ascii="Century" w:eastAsia="Dotum" w:hAnsi="Century" w:cs="Calibri"/>
          <w:sz w:val="20"/>
          <w:szCs w:val="24"/>
        </w:rPr>
        <w:t>.</w:t>
      </w:r>
    </w:p>
    <w:p w:rsidR="00C617CC" w:rsidRPr="00C47106" w:rsidRDefault="00C617CC" w:rsidP="00990F04">
      <w:pPr>
        <w:numPr>
          <w:ilvl w:val="0"/>
          <w:numId w:val="13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Gastos realizados por compras de gorras y gafas para temporada playera.</w:t>
      </w:r>
    </w:p>
    <w:p w:rsidR="00AB0BC1" w:rsidRPr="00C47106" w:rsidRDefault="00AB0BC1" w:rsidP="00990F04">
      <w:pPr>
        <w:spacing w:after="0" w:line="240" w:lineRule="auto"/>
        <w:rPr>
          <w:rFonts w:ascii="Century" w:eastAsia="Dotum" w:hAnsi="Century" w:cs="Calibri"/>
          <w:sz w:val="20"/>
          <w:szCs w:val="24"/>
        </w:rPr>
      </w:pPr>
    </w:p>
    <w:p w:rsidR="009B3496" w:rsidRPr="00C47106" w:rsidRDefault="009B3496" w:rsidP="00990F04">
      <w:pPr>
        <w:spacing w:after="0" w:line="240" w:lineRule="auto"/>
        <w:rPr>
          <w:rFonts w:ascii="Century" w:eastAsia="Dotum" w:hAnsi="Century" w:cs="Calibri"/>
          <w:sz w:val="20"/>
          <w:szCs w:val="24"/>
        </w:rPr>
      </w:pPr>
    </w:p>
    <w:p w:rsidR="009B3496" w:rsidRPr="00C47106" w:rsidRDefault="009B3496" w:rsidP="00990F04">
      <w:pPr>
        <w:spacing w:after="0" w:line="240" w:lineRule="auto"/>
        <w:rPr>
          <w:rFonts w:ascii="Century" w:eastAsia="Dotum" w:hAnsi="Century" w:cs="Calibri"/>
          <w:b/>
          <w:sz w:val="20"/>
          <w:szCs w:val="24"/>
        </w:rPr>
      </w:pPr>
      <w:r w:rsidRPr="00C47106">
        <w:rPr>
          <w:rFonts w:ascii="Century" w:eastAsia="Dotum" w:hAnsi="Century" w:cs="Calibri"/>
          <w:b/>
          <w:sz w:val="20"/>
          <w:szCs w:val="24"/>
          <w:u w:val="single"/>
        </w:rPr>
        <w:lastRenderedPageBreak/>
        <w:t>II PARTE - RESUELVA LOS SIGUIENTES EJERCICIOS</w:t>
      </w:r>
      <w:r w:rsidR="000633B5" w:rsidRPr="00C47106">
        <w:rPr>
          <w:rFonts w:ascii="Century" w:eastAsia="Dotum" w:hAnsi="Century" w:cs="Calibri"/>
          <w:b/>
          <w:sz w:val="20"/>
          <w:szCs w:val="24"/>
        </w:rPr>
        <w:t xml:space="preserve"> (70 puntos)</w:t>
      </w:r>
    </w:p>
    <w:p w:rsidR="009B3496" w:rsidRPr="00C47106" w:rsidRDefault="009B3496" w:rsidP="00990F04">
      <w:pPr>
        <w:spacing w:after="0" w:line="240" w:lineRule="auto"/>
        <w:rPr>
          <w:rFonts w:ascii="Century" w:eastAsia="Dotum" w:hAnsi="Century" w:cs="Calibri"/>
          <w:sz w:val="20"/>
          <w:szCs w:val="24"/>
        </w:rPr>
      </w:pPr>
    </w:p>
    <w:p w:rsidR="00DE092C" w:rsidRPr="00C47106" w:rsidRDefault="000633B5" w:rsidP="00990F04">
      <w:pPr>
        <w:numPr>
          <w:ilvl w:val="0"/>
          <w:numId w:val="15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(30 puntos) </w:t>
      </w:r>
      <w:r w:rsidR="003164EA" w:rsidRPr="00C47106">
        <w:rPr>
          <w:rFonts w:ascii="Century" w:eastAsia="Dotum" w:hAnsi="Century" w:cs="Calibri"/>
          <w:sz w:val="20"/>
          <w:szCs w:val="24"/>
        </w:rPr>
        <w:t xml:space="preserve">El Balance General de la empresa </w:t>
      </w:r>
      <w:r w:rsidR="003164EA" w:rsidRPr="00C47106">
        <w:rPr>
          <w:rFonts w:ascii="Century" w:eastAsia="Dotum" w:hAnsi="Century" w:cs="Calibri"/>
          <w:i/>
          <w:sz w:val="20"/>
          <w:szCs w:val="24"/>
        </w:rPr>
        <w:t>“Contadores Asociados”</w:t>
      </w:r>
      <w:r w:rsidR="003164EA" w:rsidRPr="00C47106">
        <w:rPr>
          <w:rFonts w:ascii="Century" w:eastAsia="Dotum" w:hAnsi="Century" w:cs="Calibri"/>
          <w:sz w:val="20"/>
          <w:szCs w:val="24"/>
        </w:rPr>
        <w:t xml:space="preserve"> (CE), despacho contable</w:t>
      </w:r>
      <w:r w:rsidR="00AF030E" w:rsidRPr="00C47106">
        <w:rPr>
          <w:rFonts w:ascii="Century" w:eastAsia="Dotum" w:hAnsi="Century" w:cs="Calibri"/>
          <w:sz w:val="20"/>
          <w:szCs w:val="24"/>
        </w:rPr>
        <w:t xml:space="preserve"> conformado por un grupo de profesionales especializados en términos contables y tributarios</w:t>
      </w:r>
      <w:r w:rsidR="003164EA" w:rsidRPr="00C47106">
        <w:rPr>
          <w:rFonts w:ascii="Century" w:eastAsia="Dotum" w:hAnsi="Century" w:cs="Calibri"/>
          <w:sz w:val="20"/>
          <w:szCs w:val="24"/>
        </w:rPr>
        <w:t xml:space="preserve">, </w:t>
      </w:r>
      <w:r w:rsidR="00DE092C" w:rsidRPr="00C47106">
        <w:rPr>
          <w:rFonts w:ascii="Century" w:eastAsia="Dotum" w:hAnsi="Century" w:cs="Calibri"/>
          <w:sz w:val="20"/>
          <w:szCs w:val="24"/>
        </w:rPr>
        <w:t xml:space="preserve">que se presenta a continuación, </w:t>
      </w:r>
      <w:r w:rsidR="003164EA" w:rsidRPr="00C47106">
        <w:rPr>
          <w:rFonts w:ascii="Century" w:eastAsia="Dotum" w:hAnsi="Century" w:cs="Calibri"/>
          <w:sz w:val="20"/>
          <w:szCs w:val="24"/>
        </w:rPr>
        <w:t>muestra los siguientes saldos al 31 de Octubre de 2010</w:t>
      </w:r>
      <w:r w:rsidR="00DE092C" w:rsidRPr="00C47106">
        <w:rPr>
          <w:rFonts w:ascii="Century" w:eastAsia="Dotum" w:hAnsi="Century" w:cs="Calibri"/>
          <w:sz w:val="20"/>
          <w:szCs w:val="24"/>
        </w:rPr>
        <w:t>:</w:t>
      </w:r>
    </w:p>
    <w:p w:rsidR="00DE092C" w:rsidRPr="00C47106" w:rsidRDefault="00DE092C" w:rsidP="00990F04">
      <w:pPr>
        <w:spacing w:after="0" w:line="240" w:lineRule="auto"/>
        <w:ind w:left="720"/>
        <w:jc w:val="both"/>
        <w:rPr>
          <w:rFonts w:ascii="Century" w:eastAsia="Dotum" w:hAnsi="Century" w:cs="Calibri"/>
          <w:sz w:val="20"/>
          <w:szCs w:val="24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3794"/>
        <w:gridCol w:w="1384"/>
        <w:gridCol w:w="1384"/>
      </w:tblGrid>
      <w:tr w:rsidR="00DE092C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Bancos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$  20.349,00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</w:p>
        </w:tc>
      </w:tr>
      <w:tr w:rsidR="007733AD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Inversiones Temporales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$ 112.300,00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</w:tr>
      <w:tr w:rsidR="00DE092C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Cuentas por cobrar clientes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  76.345,00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</w:tr>
      <w:tr w:rsidR="007733AD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Materiales de oficina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    6.980,00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</w:tr>
      <w:tr w:rsidR="00DE092C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IVA pagado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  12.420,00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</w:tr>
      <w:tr w:rsidR="007733AD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Documentos por cobrar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  30.000,00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</w:tr>
      <w:tr w:rsidR="00DE092C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Seguro pagado por anticipado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  10.500,00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E092C" w:rsidRPr="00C47106" w:rsidRDefault="00DE092C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</w:tr>
      <w:tr w:rsidR="001032D6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Renta pagada por anticipado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  60.000,00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</w:tr>
      <w:tr w:rsidR="001032D6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Muebles y equipos de oficina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  54.310,00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</w:tr>
      <w:tr w:rsidR="001032D6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Cuentas por pagar acreedores diversos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  12.930,00</w:t>
            </w:r>
          </w:p>
        </w:tc>
      </w:tr>
      <w:tr w:rsidR="001032D6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IVA cobrado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  10.125,00</w:t>
            </w:r>
          </w:p>
        </w:tc>
      </w:tr>
      <w:tr w:rsidR="001032D6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Documentos por pagar a largo plazo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  45.000,00</w:t>
            </w:r>
          </w:p>
        </w:tc>
      </w:tr>
      <w:tr w:rsidR="001032D6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Capital social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$ 200.000,00</w:t>
            </w:r>
          </w:p>
        </w:tc>
      </w:tr>
      <w:tr w:rsidR="001032D6" w:rsidRPr="00C47106" w:rsidTr="006B7196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b/>
                <w:bCs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bCs/>
                <w:sz w:val="20"/>
                <w:szCs w:val="24"/>
              </w:rPr>
              <w:t>Utilidades retenidas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032D6" w:rsidRPr="00C47106" w:rsidRDefault="001032D6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$ 115.149,00</w:t>
            </w:r>
          </w:p>
        </w:tc>
      </w:tr>
    </w:tbl>
    <w:p w:rsidR="00DE092C" w:rsidRPr="00C47106" w:rsidRDefault="00DE092C" w:rsidP="00990F04">
      <w:pPr>
        <w:spacing w:after="0" w:line="240" w:lineRule="auto"/>
        <w:ind w:left="720"/>
        <w:jc w:val="both"/>
        <w:rPr>
          <w:rFonts w:ascii="Century" w:eastAsia="Dotum" w:hAnsi="Century" w:cs="Calibri"/>
          <w:sz w:val="20"/>
          <w:szCs w:val="24"/>
        </w:rPr>
      </w:pPr>
    </w:p>
    <w:p w:rsidR="00DE092C" w:rsidRPr="00C47106" w:rsidRDefault="00DE092C" w:rsidP="00990F04">
      <w:pPr>
        <w:spacing w:after="0" w:line="240" w:lineRule="auto"/>
        <w:ind w:left="720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Durante el mes de Noviembre ocurrieron los siguientes movimientos:</w:t>
      </w:r>
    </w:p>
    <w:p w:rsidR="00DB523E" w:rsidRPr="00C47106" w:rsidRDefault="00DB523E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bookmarkStart w:id="0" w:name="OLE_LINK1"/>
      <w:r w:rsidRPr="00C47106">
        <w:rPr>
          <w:rFonts w:ascii="Century" w:eastAsia="Dotum" w:hAnsi="Century" w:cs="Calibri"/>
          <w:sz w:val="20"/>
          <w:szCs w:val="24"/>
        </w:rPr>
        <w:t>Día 1: Se realiza el ajuste del IVA, si la empresa posee crédito tributario queda de saldo para el siguiente mes, caso contrario se cancelan los haberes al SRI.</w:t>
      </w:r>
    </w:p>
    <w:p w:rsidR="00DB523E" w:rsidRPr="00C47106" w:rsidRDefault="00DE092C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Día 3: Se recibió la cancelación de un cliente</w:t>
      </w:r>
      <w:r w:rsidR="00DB523E" w:rsidRPr="00C47106">
        <w:rPr>
          <w:rFonts w:ascii="Century" w:eastAsia="Dotum" w:hAnsi="Century" w:cs="Calibri"/>
          <w:sz w:val="20"/>
          <w:szCs w:val="24"/>
        </w:rPr>
        <w:t xml:space="preserve"> por $ 40.000,00 de una cuenta </w:t>
      </w:r>
      <w:r w:rsidR="00726E5C" w:rsidRPr="00C47106">
        <w:rPr>
          <w:rFonts w:ascii="Century" w:eastAsia="Dotum" w:hAnsi="Century" w:cs="Calibri"/>
          <w:sz w:val="20"/>
          <w:szCs w:val="24"/>
        </w:rPr>
        <w:t xml:space="preserve">que estaba </w:t>
      </w:r>
      <w:r w:rsidR="00DB523E" w:rsidRPr="00C47106">
        <w:rPr>
          <w:rFonts w:ascii="Century" w:eastAsia="Dotum" w:hAnsi="Century" w:cs="Calibri"/>
          <w:sz w:val="20"/>
          <w:szCs w:val="24"/>
        </w:rPr>
        <w:t>pendiente de cobro.</w:t>
      </w:r>
    </w:p>
    <w:p w:rsidR="00DE092C" w:rsidRPr="00C47106" w:rsidRDefault="00DB523E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Día 5: Se brindaron </w:t>
      </w:r>
      <w:r w:rsidR="00AF030E" w:rsidRPr="00C47106">
        <w:rPr>
          <w:rFonts w:ascii="Century" w:eastAsia="Dotum" w:hAnsi="Century" w:cs="Calibri"/>
          <w:sz w:val="20"/>
          <w:szCs w:val="24"/>
        </w:rPr>
        <w:t>servicios contables a la empresa Estética &amp; Belleza</w:t>
      </w:r>
      <w:r w:rsidR="0029751D" w:rsidRPr="00C47106">
        <w:rPr>
          <w:rFonts w:ascii="Century" w:eastAsia="Dotum" w:hAnsi="Century" w:cs="Calibri"/>
          <w:sz w:val="20"/>
          <w:szCs w:val="24"/>
        </w:rPr>
        <w:t xml:space="preserve"> (Sociedad obligada a llevar contabilidad)</w:t>
      </w:r>
      <w:r w:rsidRPr="00C47106">
        <w:rPr>
          <w:rFonts w:ascii="Century" w:eastAsia="Dotum" w:hAnsi="Century" w:cs="Calibri"/>
          <w:sz w:val="20"/>
          <w:szCs w:val="24"/>
        </w:rPr>
        <w:t xml:space="preserve"> por $ 57.000,00 más IVA. Estos valores quedan pendientes de cobro.</w:t>
      </w:r>
    </w:p>
    <w:p w:rsidR="0029751D" w:rsidRPr="00C47106" w:rsidRDefault="0029751D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Día 9: Se pagaron con cheque los servicios de la oficina del mes de octubre por $ 3.200,00 </w:t>
      </w:r>
      <w:r w:rsidR="0072037E" w:rsidRPr="00C47106">
        <w:rPr>
          <w:rFonts w:ascii="Century" w:eastAsia="Dotum" w:hAnsi="Century" w:cs="Calibri"/>
          <w:sz w:val="20"/>
          <w:szCs w:val="24"/>
        </w:rPr>
        <w:t>incluido</w:t>
      </w:r>
      <w:r w:rsidRPr="00C47106">
        <w:rPr>
          <w:rFonts w:ascii="Century" w:eastAsia="Dotum" w:hAnsi="Century" w:cs="Calibri"/>
          <w:sz w:val="20"/>
          <w:szCs w:val="24"/>
        </w:rPr>
        <w:t xml:space="preserve"> IVA a la Sra. Luciana González (PN no obligada a llevar contabilidad que realiza emisión de facturas), valores que estaban considerados en el saldo de Cuentas por pagar acreedores diversos.</w:t>
      </w:r>
    </w:p>
    <w:p w:rsidR="0029751D" w:rsidRPr="00C47106" w:rsidRDefault="0029751D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Día 12: Se realizaron declaraciones fiscales del Sr. Ramiro Ramírez, al que se le cobraron de contado $ 33.000,00 más IVA. </w:t>
      </w:r>
      <w:r w:rsidR="00AF030E" w:rsidRPr="00C47106">
        <w:rPr>
          <w:rFonts w:ascii="Century" w:eastAsia="Dotum" w:hAnsi="Century" w:cs="Calibri"/>
          <w:sz w:val="20"/>
          <w:szCs w:val="24"/>
        </w:rPr>
        <w:t>El Sr. Ramírez es un contribuyente obligado a llevar contabilidad.</w:t>
      </w:r>
    </w:p>
    <w:p w:rsidR="00AF030E" w:rsidRPr="00C47106" w:rsidRDefault="00AF030E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D</w:t>
      </w:r>
      <w:r w:rsidR="005E55CA" w:rsidRPr="00C47106">
        <w:rPr>
          <w:rFonts w:ascii="Century" w:eastAsia="Dotum" w:hAnsi="Century" w:cs="Calibri"/>
          <w:sz w:val="20"/>
          <w:szCs w:val="24"/>
        </w:rPr>
        <w:t xml:space="preserve">ía 14: Se realizó un pago de $ </w:t>
      </w:r>
      <w:r w:rsidRPr="00C47106">
        <w:rPr>
          <w:rFonts w:ascii="Century" w:eastAsia="Dotum" w:hAnsi="Century" w:cs="Calibri"/>
          <w:sz w:val="20"/>
          <w:szCs w:val="24"/>
        </w:rPr>
        <w:t>6.000,00 más IVA al Ing. en Informática Carlos Estarellas, quien es PN no obligada a llevar contabilidad que no emite facturas, por la implementación de un software contable. Este valor se encontraba registrado en cuentas por pagar acreedores diversos.</w:t>
      </w:r>
    </w:p>
    <w:p w:rsidR="0072037E" w:rsidRPr="00C47106" w:rsidRDefault="0072037E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Día 16: Se compraron legajos, carpetas, papel y tinta para la impresora, de contado por un total de $ 4.140,00 incluido IVA a Poliprint S.A.</w:t>
      </w:r>
    </w:p>
    <w:p w:rsidR="0072037E" w:rsidRPr="00C47106" w:rsidRDefault="0072037E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Día 18: El Sr. Joaquín Saltos nos pagó por la realización de un proyecto </w:t>
      </w:r>
      <w:r w:rsidR="00BB4133" w:rsidRPr="00C47106">
        <w:rPr>
          <w:rFonts w:ascii="Century" w:eastAsia="Dotum" w:hAnsi="Century" w:cs="Calibri"/>
          <w:sz w:val="20"/>
          <w:szCs w:val="24"/>
        </w:rPr>
        <w:t xml:space="preserve">de contabilidad </w:t>
      </w:r>
      <w:r w:rsidRPr="00C47106">
        <w:rPr>
          <w:rFonts w:ascii="Century" w:eastAsia="Dotum" w:hAnsi="Century" w:cs="Calibri"/>
          <w:sz w:val="20"/>
          <w:szCs w:val="24"/>
        </w:rPr>
        <w:t>que se efectuará a finales de Diciembre. El valor del proyecto es de $ 42.000,00 más IVA. Este cliente está obligado a llevar contabilidad.</w:t>
      </w:r>
    </w:p>
    <w:p w:rsidR="0072037E" w:rsidRPr="00C47106" w:rsidRDefault="0072037E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Día 22: Uno de los socios retiró parte de su aportación al capital social. Se le expidió un cheque por $ 25.000,00.</w:t>
      </w:r>
    </w:p>
    <w:p w:rsidR="001420DF" w:rsidRPr="00C47106" w:rsidRDefault="0072037E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Día 28: Se pagó la </w:t>
      </w:r>
      <w:r w:rsidR="001420DF" w:rsidRPr="00C47106">
        <w:rPr>
          <w:rFonts w:ascii="Century" w:eastAsia="Dotum" w:hAnsi="Century" w:cs="Calibri"/>
          <w:sz w:val="20"/>
          <w:szCs w:val="24"/>
        </w:rPr>
        <w:t xml:space="preserve">publicidad </w:t>
      </w:r>
      <w:r w:rsidRPr="00C47106">
        <w:rPr>
          <w:rFonts w:ascii="Century" w:eastAsia="Dotum" w:hAnsi="Century" w:cs="Calibri"/>
          <w:sz w:val="20"/>
          <w:szCs w:val="24"/>
        </w:rPr>
        <w:t xml:space="preserve">de la oficina </w:t>
      </w:r>
      <w:r w:rsidR="001420DF" w:rsidRPr="00C47106">
        <w:rPr>
          <w:rFonts w:ascii="Century" w:eastAsia="Dotum" w:hAnsi="Century" w:cs="Calibri"/>
          <w:sz w:val="20"/>
          <w:szCs w:val="24"/>
        </w:rPr>
        <w:t>del mes de Noviembre por un total de $ 8.000,00 más IVA a la Ing. en Diseño Gráfico Carolina Cañarte</w:t>
      </w:r>
      <w:r w:rsidR="00BB4133" w:rsidRPr="00C47106">
        <w:rPr>
          <w:rFonts w:ascii="Century" w:eastAsia="Dotum" w:hAnsi="Century" w:cs="Calibri"/>
          <w:sz w:val="20"/>
          <w:szCs w:val="24"/>
        </w:rPr>
        <w:t>, quien no está obligada a llevar contabilidad y no realiza emisión de facturas</w:t>
      </w:r>
      <w:r w:rsidR="001420DF" w:rsidRPr="00C47106">
        <w:rPr>
          <w:rFonts w:ascii="Century" w:eastAsia="Dotum" w:hAnsi="Century" w:cs="Calibri"/>
          <w:sz w:val="20"/>
          <w:szCs w:val="24"/>
        </w:rPr>
        <w:t>.</w:t>
      </w:r>
    </w:p>
    <w:p w:rsidR="001420DF" w:rsidRPr="00C47106" w:rsidRDefault="00BB4133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Día 30</w:t>
      </w:r>
      <w:r w:rsidR="001420DF" w:rsidRPr="00C47106">
        <w:rPr>
          <w:rFonts w:ascii="Century" w:eastAsia="Dotum" w:hAnsi="Century" w:cs="Calibri"/>
          <w:sz w:val="20"/>
          <w:szCs w:val="24"/>
        </w:rPr>
        <w:t>: Se pagaron por honorarios a los contadores $ 28.000,00 más IVA.</w:t>
      </w:r>
      <w:r w:rsidRPr="00C47106">
        <w:rPr>
          <w:rFonts w:ascii="Century" w:eastAsia="Dotum" w:hAnsi="Century" w:cs="Calibri"/>
          <w:sz w:val="20"/>
          <w:szCs w:val="24"/>
        </w:rPr>
        <w:t xml:space="preserve"> Todos ellos son no obligados a llevar contabilidad.</w:t>
      </w:r>
    </w:p>
    <w:bookmarkEnd w:id="0"/>
    <w:p w:rsidR="00AF030E" w:rsidRPr="00C47106" w:rsidRDefault="00AF030E" w:rsidP="00990F04">
      <w:pPr>
        <w:spacing w:after="0" w:line="240" w:lineRule="auto"/>
        <w:ind w:left="720"/>
        <w:jc w:val="both"/>
        <w:rPr>
          <w:rFonts w:ascii="Century" w:eastAsia="Dotum" w:hAnsi="Century" w:cs="Calibri"/>
          <w:sz w:val="20"/>
          <w:szCs w:val="24"/>
        </w:rPr>
      </w:pPr>
    </w:p>
    <w:p w:rsidR="001420DF" w:rsidRPr="00C47106" w:rsidRDefault="001420DF" w:rsidP="00990F04">
      <w:pPr>
        <w:spacing w:after="0" w:line="240" w:lineRule="auto"/>
        <w:ind w:left="720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Se pide:</w:t>
      </w:r>
    </w:p>
    <w:p w:rsidR="001420DF" w:rsidRPr="00C47106" w:rsidRDefault="001420DF" w:rsidP="00990F04">
      <w:pPr>
        <w:numPr>
          <w:ilvl w:val="0"/>
          <w:numId w:val="16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Registre las transacciones en Diario General.</w:t>
      </w:r>
    </w:p>
    <w:p w:rsidR="00260591" w:rsidRPr="00C47106" w:rsidRDefault="001420DF" w:rsidP="00260591">
      <w:pPr>
        <w:numPr>
          <w:ilvl w:val="0"/>
          <w:numId w:val="16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Realice los pases al mayor correspondiente. Use cuenta T</w:t>
      </w:r>
    </w:p>
    <w:p w:rsidR="001420DF" w:rsidRPr="00C47106" w:rsidRDefault="001420DF" w:rsidP="00260591">
      <w:pPr>
        <w:numPr>
          <w:ilvl w:val="0"/>
          <w:numId w:val="16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Elabore el Balance de Comprobación de prueba.</w:t>
      </w:r>
    </w:p>
    <w:p w:rsidR="00260591" w:rsidRPr="00C47106" w:rsidRDefault="00260591" w:rsidP="00260591">
      <w:p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</w:p>
    <w:p w:rsidR="00260591" w:rsidRPr="00C47106" w:rsidRDefault="00260591" w:rsidP="00260591">
      <w:p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</w:p>
    <w:p w:rsidR="000633B5" w:rsidRPr="00C47106" w:rsidRDefault="00260591" w:rsidP="00990F04">
      <w:pPr>
        <w:numPr>
          <w:ilvl w:val="0"/>
          <w:numId w:val="15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 </w:t>
      </w:r>
      <w:r w:rsidR="00990F04" w:rsidRPr="00C47106">
        <w:rPr>
          <w:rFonts w:ascii="Century" w:eastAsia="Dotum" w:hAnsi="Century" w:cs="Calibri"/>
          <w:sz w:val="20"/>
          <w:szCs w:val="24"/>
        </w:rPr>
        <w:t xml:space="preserve">(20 puntos) </w:t>
      </w:r>
      <w:r w:rsidR="000633B5" w:rsidRPr="00C47106">
        <w:rPr>
          <w:rFonts w:ascii="Century" w:eastAsia="Dotum" w:hAnsi="Century" w:cs="Calibri"/>
          <w:sz w:val="20"/>
          <w:szCs w:val="24"/>
        </w:rPr>
        <w:t>La empresa Compured S.A. presenta el siguiente Balance de Comprobación luego de ajustes al 31 de Octubre de 2010:</w:t>
      </w:r>
    </w:p>
    <w:p w:rsidR="000633B5" w:rsidRPr="00C47106" w:rsidRDefault="000633B5" w:rsidP="00990F04">
      <w:p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3"/>
        <w:gridCol w:w="1550"/>
        <w:gridCol w:w="222"/>
        <w:gridCol w:w="3185"/>
        <w:gridCol w:w="1739"/>
      </w:tblGrid>
      <w:tr w:rsidR="00DF4CAF" w:rsidRPr="00C47106" w:rsidTr="006B7196">
        <w:trPr>
          <w:jc w:val="center"/>
        </w:trPr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bookmarkStart w:id="1" w:name="OLE_LINK2"/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de impuestos</w:t>
            </w:r>
          </w:p>
        </w:tc>
        <w:tc>
          <w:tcPr>
            <w:tcW w:w="1550" w:type="dxa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$ 15.000,00</w:t>
            </w: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Cuentas por cobrar clientes</w:t>
            </w:r>
          </w:p>
        </w:tc>
        <w:tc>
          <w:tcPr>
            <w:tcW w:w="1739" w:type="dxa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$ 100.000,00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Accesorios de oficina</w:t>
            </w:r>
          </w:p>
        </w:tc>
        <w:tc>
          <w:tcPr>
            <w:tcW w:w="1550" w:type="dxa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$ 7.250,00</w:t>
            </w: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varios</w:t>
            </w:r>
          </w:p>
        </w:tc>
        <w:tc>
          <w:tcPr>
            <w:tcW w:w="1739" w:type="dxa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$ 6.800,00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por servicios públicos</w:t>
            </w:r>
          </w:p>
        </w:tc>
        <w:tc>
          <w:tcPr>
            <w:tcW w:w="1550" w:type="dxa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$ 2.200,00</w:t>
            </w: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Equipo de transporte</w:t>
            </w:r>
          </w:p>
        </w:tc>
        <w:tc>
          <w:tcPr>
            <w:tcW w:w="1739" w:type="dxa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$ 80.000,00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Mobiliario y equipo de oficina</w:t>
            </w:r>
          </w:p>
        </w:tc>
        <w:tc>
          <w:tcPr>
            <w:tcW w:w="1550" w:type="dxa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$ 21.000,00</w:t>
            </w: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por seguro</w:t>
            </w:r>
          </w:p>
        </w:tc>
        <w:tc>
          <w:tcPr>
            <w:tcW w:w="1739" w:type="dxa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$ 5.000,00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por depreciación equipo de cómputo</w:t>
            </w:r>
          </w:p>
        </w:tc>
        <w:tc>
          <w:tcPr>
            <w:tcW w:w="1550" w:type="dxa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$ 625,</w:t>
            </w:r>
            <w:r w:rsidR="000633B5" w:rsidRPr="00C47106">
              <w:rPr>
                <w:rFonts w:ascii="Century" w:eastAsia="Dotum" w:hAnsi="Century" w:cs="Calibri"/>
                <w:sz w:val="20"/>
                <w:szCs w:val="24"/>
              </w:rPr>
              <w:t>00</w:t>
            </w: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Equipo de cómputo</w:t>
            </w:r>
          </w:p>
        </w:tc>
        <w:tc>
          <w:tcPr>
            <w:tcW w:w="1739" w:type="dxa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$ 41.500,00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Cuentas por pagar proveedores</w:t>
            </w:r>
          </w:p>
        </w:tc>
        <w:tc>
          <w:tcPr>
            <w:tcW w:w="1550" w:type="dxa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$ 18.500,00</w:t>
            </w: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por publicidad</w:t>
            </w:r>
          </w:p>
        </w:tc>
        <w:tc>
          <w:tcPr>
            <w:tcW w:w="1739" w:type="dxa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$ 13.000,00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Ingresos por servicios</w:t>
            </w:r>
          </w:p>
        </w:tc>
        <w:tc>
          <w:tcPr>
            <w:tcW w:w="1550" w:type="dxa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$ 225.250,00</w:t>
            </w:r>
          </w:p>
        </w:tc>
        <w:tc>
          <w:tcPr>
            <w:tcW w:w="0" w:type="auto"/>
          </w:tcPr>
          <w:p w:rsidR="000633B5" w:rsidRPr="00C47106" w:rsidRDefault="000633B5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Impuestos por pagar</w:t>
            </w:r>
          </w:p>
        </w:tc>
        <w:tc>
          <w:tcPr>
            <w:tcW w:w="1739" w:type="dxa"/>
          </w:tcPr>
          <w:p w:rsidR="000633B5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$ 15.000,00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Anticipos de clientes</w:t>
            </w:r>
          </w:p>
        </w:tc>
        <w:tc>
          <w:tcPr>
            <w:tcW w:w="1550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$ 26.750,00</w:t>
            </w: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Capital social</w:t>
            </w:r>
          </w:p>
        </w:tc>
        <w:tc>
          <w:tcPr>
            <w:tcW w:w="1739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$ 300.000,00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Bancos</w:t>
            </w:r>
          </w:p>
        </w:tc>
        <w:tc>
          <w:tcPr>
            <w:tcW w:w="1550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$ 239.800,00</w:t>
            </w: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por intereses</w:t>
            </w:r>
          </w:p>
        </w:tc>
        <w:tc>
          <w:tcPr>
            <w:tcW w:w="1739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$ 156,25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por depreciación mobiliario de oficina</w:t>
            </w:r>
          </w:p>
        </w:tc>
        <w:tc>
          <w:tcPr>
            <w:tcW w:w="1550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$ 175,00</w:t>
            </w: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Cuentas por cobrar deudores diversos</w:t>
            </w:r>
          </w:p>
        </w:tc>
        <w:tc>
          <w:tcPr>
            <w:tcW w:w="1739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$ 5.000,00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Seguro pagado por anticipado</w:t>
            </w:r>
          </w:p>
        </w:tc>
        <w:tc>
          <w:tcPr>
            <w:tcW w:w="1550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$ 25.000,00</w:t>
            </w: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por accesorios de oficina</w:t>
            </w:r>
          </w:p>
        </w:tc>
        <w:tc>
          <w:tcPr>
            <w:tcW w:w="1739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$ 1.450,00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Depreciación acumulada equipo de transporte</w:t>
            </w:r>
          </w:p>
        </w:tc>
        <w:tc>
          <w:tcPr>
            <w:tcW w:w="1550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$ 916,66</w:t>
            </w: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por depreciación equipo de transporte</w:t>
            </w:r>
          </w:p>
        </w:tc>
        <w:tc>
          <w:tcPr>
            <w:tcW w:w="1739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$ 916,66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por reparación equipo de cómputo</w:t>
            </w:r>
          </w:p>
        </w:tc>
        <w:tc>
          <w:tcPr>
            <w:tcW w:w="1550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$ 2.000,00</w:t>
            </w: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Depreciación acumulada mobiliario de oficina</w:t>
            </w:r>
          </w:p>
        </w:tc>
        <w:tc>
          <w:tcPr>
            <w:tcW w:w="1739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$ 175,00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Depreciación acumulada equipo de cómputo</w:t>
            </w:r>
          </w:p>
        </w:tc>
        <w:tc>
          <w:tcPr>
            <w:tcW w:w="1550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$ 625,00</w:t>
            </w: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Gastos por sueldos y salarios</w:t>
            </w:r>
          </w:p>
        </w:tc>
        <w:tc>
          <w:tcPr>
            <w:tcW w:w="1739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$ 85.500,00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Dividendos</w:t>
            </w:r>
          </w:p>
        </w:tc>
        <w:tc>
          <w:tcPr>
            <w:tcW w:w="1550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$ 12.000,00</w:t>
            </w: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Cuentas por pagar acreedores diversos</w:t>
            </w:r>
          </w:p>
        </w:tc>
        <w:tc>
          <w:tcPr>
            <w:tcW w:w="1739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$ 52.000,00</w:t>
            </w:r>
          </w:p>
        </w:tc>
      </w:tr>
      <w:tr w:rsidR="00DF4CAF" w:rsidRPr="00C47106" w:rsidTr="006B7196">
        <w:trPr>
          <w:jc w:val="center"/>
        </w:trPr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Intereses por pagar</w:t>
            </w:r>
          </w:p>
        </w:tc>
        <w:tc>
          <w:tcPr>
            <w:tcW w:w="1550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$ 156,25</w:t>
            </w: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</w:p>
        </w:tc>
        <w:tc>
          <w:tcPr>
            <w:tcW w:w="0" w:type="auto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Documentos por pagar de largo plazo</w:t>
            </w:r>
          </w:p>
        </w:tc>
        <w:tc>
          <w:tcPr>
            <w:tcW w:w="1739" w:type="dxa"/>
          </w:tcPr>
          <w:p w:rsidR="00DF4CAF" w:rsidRPr="00C47106" w:rsidRDefault="00DF4CAF" w:rsidP="006B7196">
            <w:pPr>
              <w:spacing w:after="0" w:line="240" w:lineRule="auto"/>
              <w:jc w:val="both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$ 25.000,00</w:t>
            </w:r>
          </w:p>
        </w:tc>
      </w:tr>
      <w:bookmarkEnd w:id="1"/>
    </w:tbl>
    <w:p w:rsidR="000633B5" w:rsidRPr="00C47106" w:rsidRDefault="000633B5" w:rsidP="00990F04">
      <w:p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</w:p>
    <w:p w:rsidR="005E7DC4" w:rsidRPr="00C47106" w:rsidRDefault="00DF4CAF" w:rsidP="00990F04">
      <w:pPr>
        <w:spacing w:after="0" w:line="240" w:lineRule="auto"/>
        <w:ind w:left="709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Se pide: </w:t>
      </w:r>
    </w:p>
    <w:p w:rsidR="005E7DC4" w:rsidRPr="00C47106" w:rsidRDefault="00DF4CAF" w:rsidP="00990F04">
      <w:pPr>
        <w:numPr>
          <w:ilvl w:val="0"/>
          <w:numId w:val="17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Elaborar el Estado de Resultados de la empresa</w:t>
      </w:r>
    </w:p>
    <w:p w:rsidR="00DF4CAF" w:rsidRPr="00C47106" w:rsidRDefault="005E7DC4" w:rsidP="00990F04">
      <w:pPr>
        <w:numPr>
          <w:ilvl w:val="0"/>
          <w:numId w:val="17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E</w:t>
      </w:r>
      <w:r w:rsidR="00DF4CAF" w:rsidRPr="00C47106">
        <w:rPr>
          <w:rFonts w:ascii="Century" w:eastAsia="Dotum" w:hAnsi="Century" w:cs="Calibri"/>
          <w:sz w:val="20"/>
          <w:szCs w:val="24"/>
        </w:rPr>
        <w:t>ncontrar cuánto se deberá pagar por Impuesto a la Renta</w:t>
      </w:r>
    </w:p>
    <w:p w:rsidR="006B7196" w:rsidRPr="00C47106" w:rsidRDefault="006B7196" w:rsidP="006B7196">
      <w:p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</w:p>
    <w:p w:rsidR="006B7196" w:rsidRPr="00C47106" w:rsidRDefault="006B7196" w:rsidP="006B7196">
      <w:p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</w:p>
    <w:p w:rsidR="00F76DF1" w:rsidRPr="00C47106" w:rsidRDefault="006B7196" w:rsidP="00990F04">
      <w:pPr>
        <w:numPr>
          <w:ilvl w:val="0"/>
          <w:numId w:val="15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 </w:t>
      </w:r>
      <w:r w:rsidR="00990F04" w:rsidRPr="00C47106">
        <w:rPr>
          <w:rFonts w:ascii="Century" w:eastAsia="Dotum" w:hAnsi="Century" w:cs="Calibri"/>
          <w:sz w:val="20"/>
          <w:szCs w:val="24"/>
        </w:rPr>
        <w:t xml:space="preserve">(20 puntos) </w:t>
      </w:r>
      <w:r w:rsidR="00F76DF1" w:rsidRPr="00C47106">
        <w:rPr>
          <w:rFonts w:ascii="Century" w:eastAsia="Dotum" w:hAnsi="Century" w:cs="Calibri"/>
          <w:sz w:val="20"/>
          <w:szCs w:val="24"/>
        </w:rPr>
        <w:t>El Ingeniero Augusto Camacho, posee el número de RUC 0985536213001, ha tenido las siguientes fuentes de renta durante el año 2010, por los siguientes conceptos:</w:t>
      </w:r>
    </w:p>
    <w:p w:rsidR="00D634AC" w:rsidRPr="00C47106" w:rsidRDefault="00F76DF1" w:rsidP="00990F04">
      <w:pPr>
        <w:numPr>
          <w:ilvl w:val="0"/>
          <w:numId w:val="2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Como empleado de la Empresa CUADROS S.A. recibió remuneración mensual por $1.800 y adicionalmente las horas extras anuales ascendieron a $5,000. El Ing. Camacho se encuentra afiliado al IESS. </w:t>
      </w:r>
    </w:p>
    <w:p w:rsidR="00D634AC" w:rsidRPr="00C47106" w:rsidRDefault="00F76DF1" w:rsidP="00990F04">
      <w:pPr>
        <w:spacing w:after="0" w:line="240" w:lineRule="auto"/>
        <w:ind w:left="1080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Los gastos deducibles que el Ingeniero presentó son los siguientes: Vivienda ($ 700), Alimentación ($ 1,150), Vestimenta ($ 1,010) y Salud ($ 1,110).</w:t>
      </w:r>
    </w:p>
    <w:p w:rsidR="00F76DF1" w:rsidRPr="00C47106" w:rsidRDefault="00F76DF1" w:rsidP="00990F04">
      <w:pPr>
        <w:numPr>
          <w:ilvl w:val="0"/>
          <w:numId w:val="22"/>
        </w:num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 xml:space="preserve">Tiene un Bono en el Banco de Guayaquil a 2 años plazo por $ 15.000 y recibe rendimientos financieros (intereses) </w:t>
      </w:r>
      <w:r w:rsidR="00D634AC" w:rsidRPr="00C47106">
        <w:rPr>
          <w:rFonts w:ascii="Century" w:eastAsia="Dotum" w:hAnsi="Century" w:cs="Calibri"/>
          <w:sz w:val="20"/>
          <w:szCs w:val="24"/>
        </w:rPr>
        <w:t>d</w:t>
      </w:r>
      <w:r w:rsidRPr="00C47106">
        <w:rPr>
          <w:rFonts w:ascii="Century" w:eastAsia="Dotum" w:hAnsi="Century" w:cs="Calibri"/>
          <w:sz w:val="20"/>
          <w:szCs w:val="24"/>
        </w:rPr>
        <w:t>el año 2010 por $ 1.800, sobre los cuales el banco realiza la respectiva RFIR.</w:t>
      </w:r>
    </w:p>
    <w:p w:rsidR="00F76DF1" w:rsidRPr="00C47106" w:rsidRDefault="00F76DF1" w:rsidP="00990F04">
      <w:pPr>
        <w:spacing w:after="0" w:line="240" w:lineRule="auto"/>
        <w:ind w:left="720"/>
        <w:jc w:val="both"/>
        <w:rPr>
          <w:rFonts w:ascii="Century" w:eastAsia="Dotum" w:hAnsi="Century" w:cs="Calibri"/>
          <w:sz w:val="20"/>
          <w:szCs w:val="24"/>
        </w:rPr>
      </w:pPr>
    </w:p>
    <w:p w:rsidR="00F76DF1" w:rsidRPr="00C47106" w:rsidRDefault="00F76DF1" w:rsidP="00990F04">
      <w:pPr>
        <w:spacing w:after="0" w:line="240" w:lineRule="auto"/>
        <w:ind w:left="720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Se solicita:</w:t>
      </w:r>
    </w:p>
    <w:p w:rsidR="006B7196" w:rsidRPr="00C47106" w:rsidRDefault="00F76DF1" w:rsidP="00990F04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Cálculo de la Renta Global</w:t>
      </w:r>
    </w:p>
    <w:p w:rsidR="006B7196" w:rsidRPr="00C47106" w:rsidRDefault="00F76DF1" w:rsidP="00990F04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Cálculo del Impuesto a la Renta Causado</w:t>
      </w:r>
    </w:p>
    <w:p w:rsidR="006B7196" w:rsidRPr="00C47106" w:rsidRDefault="00F76DF1" w:rsidP="00990F04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Cálculo de las retenciones en la fuente</w:t>
      </w:r>
    </w:p>
    <w:p w:rsidR="00F76DF1" w:rsidRPr="00C47106" w:rsidRDefault="00F76DF1" w:rsidP="00990F04">
      <w:pPr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Century" w:eastAsia="Dotum" w:hAnsi="Century" w:cs="Calibri"/>
          <w:sz w:val="20"/>
          <w:szCs w:val="24"/>
        </w:rPr>
      </w:pPr>
      <w:r w:rsidRPr="00C47106">
        <w:rPr>
          <w:rFonts w:ascii="Century" w:eastAsia="Dotum" w:hAnsi="Century" w:cs="Calibri"/>
          <w:sz w:val="20"/>
          <w:szCs w:val="24"/>
        </w:rPr>
        <w:t>Cálculo del Impuesto a la Renta a Pagar</w:t>
      </w:r>
    </w:p>
    <w:p w:rsidR="00990F04" w:rsidRPr="00C47106" w:rsidRDefault="00990F04" w:rsidP="00990F04">
      <w:p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</w:p>
    <w:p w:rsidR="00D634AC" w:rsidRPr="00C47106" w:rsidRDefault="00D634AC" w:rsidP="00990F04">
      <w:pPr>
        <w:pStyle w:val="Prrafodelista"/>
        <w:spacing w:after="0" w:line="240" w:lineRule="auto"/>
        <w:ind w:left="0"/>
        <w:jc w:val="both"/>
        <w:rPr>
          <w:rFonts w:ascii="Century" w:eastAsia="Dotum" w:hAnsi="Century" w:cs="Calibri"/>
          <w:b/>
          <w:sz w:val="20"/>
          <w:szCs w:val="24"/>
          <w:u w:val="single"/>
        </w:rPr>
      </w:pPr>
      <w:r w:rsidRPr="00C47106">
        <w:rPr>
          <w:rFonts w:ascii="Century" w:eastAsia="Dotum" w:hAnsi="Century" w:cs="Calibri"/>
          <w:b/>
          <w:sz w:val="20"/>
          <w:szCs w:val="24"/>
          <w:u w:val="single"/>
        </w:rPr>
        <w:t>TABLA IMPUESTO RENTA 2010:</w:t>
      </w:r>
    </w:p>
    <w:p w:rsidR="00D634AC" w:rsidRPr="00C47106" w:rsidRDefault="00D634AC" w:rsidP="00990F04">
      <w:pPr>
        <w:pStyle w:val="Prrafodelista"/>
        <w:spacing w:after="0" w:line="240" w:lineRule="auto"/>
        <w:ind w:left="0"/>
        <w:jc w:val="both"/>
        <w:rPr>
          <w:rFonts w:ascii="Century" w:eastAsia="Dotum" w:hAnsi="Century" w:cs="Calibri"/>
          <w:sz w:val="20"/>
          <w:szCs w:val="24"/>
        </w:rPr>
      </w:pPr>
    </w:p>
    <w:tbl>
      <w:tblPr>
        <w:tblW w:w="6320" w:type="dxa"/>
        <w:jc w:val="center"/>
        <w:tblCellMar>
          <w:left w:w="0" w:type="dxa"/>
          <w:right w:w="0" w:type="dxa"/>
        </w:tblCellMar>
        <w:tblLook w:val="0000"/>
      </w:tblPr>
      <w:tblGrid>
        <w:gridCol w:w="1580"/>
        <w:gridCol w:w="1580"/>
        <w:gridCol w:w="1580"/>
        <w:gridCol w:w="1580"/>
      </w:tblGrid>
      <w:tr w:rsidR="00D634AC" w:rsidRPr="00C47106" w:rsidTr="006B7196">
        <w:trPr>
          <w:trHeight w:val="255"/>
          <w:jc w:val="center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b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sz w:val="20"/>
                <w:szCs w:val="24"/>
              </w:rPr>
              <w:t>Impuesto a la Renta 2010</w:t>
            </w:r>
          </w:p>
        </w:tc>
      </w:tr>
      <w:tr w:rsidR="00D634AC" w:rsidRPr="00C47106" w:rsidTr="006B7196">
        <w:trPr>
          <w:trHeight w:val="51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b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sz w:val="20"/>
                <w:szCs w:val="24"/>
              </w:rPr>
              <w:t>Fracción Básica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b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sz w:val="20"/>
                <w:szCs w:val="24"/>
              </w:rPr>
              <w:t>Exceso hasta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b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sz w:val="20"/>
                <w:szCs w:val="24"/>
              </w:rPr>
              <w:t>Impuesto Fracción Básica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b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b/>
                <w:sz w:val="20"/>
                <w:szCs w:val="24"/>
              </w:rPr>
              <w:t>% Imp. Fracción Exenta</w:t>
            </w:r>
          </w:p>
        </w:tc>
      </w:tr>
      <w:tr w:rsidR="00D634AC" w:rsidRPr="00C47106" w:rsidTr="006B719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8.910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0%</w:t>
            </w:r>
          </w:p>
        </w:tc>
      </w:tr>
      <w:tr w:rsidR="00D634AC" w:rsidRPr="00C47106" w:rsidTr="006B719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8.910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11.350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5%</w:t>
            </w:r>
          </w:p>
        </w:tc>
      </w:tr>
      <w:tr w:rsidR="00D634AC" w:rsidRPr="00C47106" w:rsidTr="006B7196">
        <w:trPr>
          <w:trHeight w:val="3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11.350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14.190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10%</w:t>
            </w:r>
          </w:p>
        </w:tc>
      </w:tr>
      <w:tr w:rsidR="00D634AC" w:rsidRPr="00C47106" w:rsidTr="006B719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14.190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17.030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12%</w:t>
            </w:r>
          </w:p>
        </w:tc>
      </w:tr>
      <w:tr w:rsidR="00D634AC" w:rsidRPr="00C47106" w:rsidTr="006B719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17.030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34.060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15%</w:t>
            </w:r>
          </w:p>
        </w:tc>
      </w:tr>
      <w:tr w:rsidR="00D634AC" w:rsidRPr="00C47106" w:rsidTr="006B719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34.060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51.080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3.301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20%</w:t>
            </w:r>
          </w:p>
        </w:tc>
      </w:tr>
      <w:tr w:rsidR="00D634AC" w:rsidRPr="00C47106" w:rsidTr="006B719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51.080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68.110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6.705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25%</w:t>
            </w:r>
          </w:p>
        </w:tc>
      </w:tr>
      <w:tr w:rsidR="00D634AC" w:rsidRPr="00C47106" w:rsidTr="006B719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68.110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90.810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10.963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30%</w:t>
            </w:r>
          </w:p>
        </w:tc>
      </w:tr>
      <w:tr w:rsidR="00D634AC" w:rsidRPr="00C47106" w:rsidTr="006B719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90.810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En adelante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17.773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34AC" w:rsidRPr="00C47106" w:rsidRDefault="00D634AC" w:rsidP="00990F04">
            <w:pPr>
              <w:spacing w:after="0" w:line="240" w:lineRule="auto"/>
              <w:jc w:val="center"/>
              <w:rPr>
                <w:rFonts w:ascii="Century" w:eastAsia="Dotum" w:hAnsi="Century" w:cs="Calibri"/>
                <w:sz w:val="20"/>
                <w:szCs w:val="24"/>
              </w:rPr>
            </w:pPr>
            <w:r w:rsidRPr="00C47106">
              <w:rPr>
                <w:rFonts w:ascii="Century" w:eastAsia="Dotum" w:hAnsi="Century" w:cs="Calibri"/>
                <w:sz w:val="20"/>
                <w:szCs w:val="24"/>
              </w:rPr>
              <w:t>35%</w:t>
            </w:r>
          </w:p>
        </w:tc>
      </w:tr>
    </w:tbl>
    <w:p w:rsidR="00D634AC" w:rsidRPr="00C47106" w:rsidRDefault="00D634AC" w:rsidP="00990F04">
      <w:pPr>
        <w:spacing w:after="0" w:line="240" w:lineRule="auto"/>
        <w:jc w:val="both"/>
        <w:rPr>
          <w:rFonts w:ascii="Century" w:eastAsia="Dotum" w:hAnsi="Century" w:cs="Calibri"/>
          <w:sz w:val="20"/>
          <w:szCs w:val="24"/>
        </w:rPr>
      </w:pPr>
    </w:p>
    <w:sectPr w:rsidR="00D634AC" w:rsidRPr="00C47106" w:rsidSect="00DF0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abstractNum w:abstractNumId="0">
    <w:nsid w:val="0269324B"/>
    <w:multiLevelType w:val="hybridMultilevel"/>
    <w:tmpl w:val="406A77F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D5469"/>
    <w:multiLevelType w:val="hybridMultilevel"/>
    <w:tmpl w:val="EB3635B8"/>
    <w:lvl w:ilvl="0" w:tplc="308E3E40">
      <w:start w:val="2"/>
      <w:numFmt w:val="bullet"/>
      <w:lvlText w:val=""/>
      <w:lvlPicBulletId w:val="0"/>
      <w:lvlJc w:val="left"/>
      <w:pPr>
        <w:ind w:left="1080" w:hanging="360"/>
      </w:pPr>
      <w:rPr>
        <w:rFonts w:ascii="Symbol" w:eastAsia="Arial Narrow" w:hAnsi="Symbol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76DE1"/>
    <w:multiLevelType w:val="hybridMultilevel"/>
    <w:tmpl w:val="68DAE5E6"/>
    <w:lvl w:ilvl="0" w:tplc="928CB2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E20955"/>
    <w:multiLevelType w:val="hybridMultilevel"/>
    <w:tmpl w:val="9FDE8960"/>
    <w:lvl w:ilvl="0" w:tplc="4A562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375EF"/>
    <w:multiLevelType w:val="hybridMultilevel"/>
    <w:tmpl w:val="9A66CF38"/>
    <w:lvl w:ilvl="0" w:tplc="23862B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287081"/>
    <w:multiLevelType w:val="hybridMultilevel"/>
    <w:tmpl w:val="20DE5EAA"/>
    <w:lvl w:ilvl="0" w:tplc="B8AC3E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BA57EC"/>
    <w:multiLevelType w:val="hybridMultilevel"/>
    <w:tmpl w:val="01349C42"/>
    <w:lvl w:ilvl="0" w:tplc="9D4051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86229D"/>
    <w:multiLevelType w:val="hybridMultilevel"/>
    <w:tmpl w:val="25F6A040"/>
    <w:lvl w:ilvl="0" w:tplc="DE8E8D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D07FD2"/>
    <w:multiLevelType w:val="hybridMultilevel"/>
    <w:tmpl w:val="960CD1CC"/>
    <w:lvl w:ilvl="0" w:tplc="568EFE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45738F"/>
    <w:multiLevelType w:val="hybridMultilevel"/>
    <w:tmpl w:val="AE3471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91F45"/>
    <w:multiLevelType w:val="hybridMultilevel"/>
    <w:tmpl w:val="A4EA580A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C93072"/>
    <w:multiLevelType w:val="hybridMultilevel"/>
    <w:tmpl w:val="EBFE0408"/>
    <w:lvl w:ilvl="0" w:tplc="2814C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0041F0"/>
    <w:multiLevelType w:val="hybridMultilevel"/>
    <w:tmpl w:val="3042E160"/>
    <w:lvl w:ilvl="0" w:tplc="47FE3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7976238"/>
    <w:multiLevelType w:val="hybridMultilevel"/>
    <w:tmpl w:val="736C6F82"/>
    <w:lvl w:ilvl="0" w:tplc="90720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65637C"/>
    <w:multiLevelType w:val="hybridMultilevel"/>
    <w:tmpl w:val="C9A099E0"/>
    <w:lvl w:ilvl="0" w:tplc="B0E4AF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EC7B4E"/>
    <w:multiLevelType w:val="hybridMultilevel"/>
    <w:tmpl w:val="5C4AE0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36C52"/>
    <w:multiLevelType w:val="hybridMultilevel"/>
    <w:tmpl w:val="8482E0C0"/>
    <w:lvl w:ilvl="0" w:tplc="20F010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E4718B"/>
    <w:multiLevelType w:val="hybridMultilevel"/>
    <w:tmpl w:val="46161AF0"/>
    <w:lvl w:ilvl="0" w:tplc="2BBAC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3817C6"/>
    <w:multiLevelType w:val="hybridMultilevel"/>
    <w:tmpl w:val="BE60F0DC"/>
    <w:lvl w:ilvl="0" w:tplc="F5D488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A6B66C8"/>
    <w:multiLevelType w:val="hybridMultilevel"/>
    <w:tmpl w:val="3FC607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D7822"/>
    <w:multiLevelType w:val="hybridMultilevel"/>
    <w:tmpl w:val="5F6C0EE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72296"/>
    <w:multiLevelType w:val="hybridMultilevel"/>
    <w:tmpl w:val="ACA2548A"/>
    <w:lvl w:ilvl="0" w:tplc="CAE8DC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C6165C5"/>
    <w:multiLevelType w:val="hybridMultilevel"/>
    <w:tmpl w:val="2F448FFA"/>
    <w:lvl w:ilvl="0" w:tplc="FB6CE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8"/>
  </w:num>
  <w:num w:numId="5">
    <w:abstractNumId w:val="19"/>
  </w:num>
  <w:num w:numId="6">
    <w:abstractNumId w:val="21"/>
  </w:num>
  <w:num w:numId="7">
    <w:abstractNumId w:val="12"/>
  </w:num>
  <w:num w:numId="8">
    <w:abstractNumId w:val="11"/>
  </w:num>
  <w:num w:numId="9">
    <w:abstractNumId w:val="14"/>
  </w:num>
  <w:num w:numId="10">
    <w:abstractNumId w:val="18"/>
  </w:num>
  <w:num w:numId="11">
    <w:abstractNumId w:val="4"/>
  </w:num>
  <w:num w:numId="12">
    <w:abstractNumId w:val="16"/>
  </w:num>
  <w:num w:numId="13">
    <w:abstractNumId w:val="5"/>
  </w:num>
  <w:num w:numId="14">
    <w:abstractNumId w:val="6"/>
  </w:num>
  <w:num w:numId="15">
    <w:abstractNumId w:val="9"/>
  </w:num>
  <w:num w:numId="16">
    <w:abstractNumId w:val="13"/>
  </w:num>
  <w:num w:numId="17">
    <w:abstractNumId w:val="7"/>
  </w:num>
  <w:num w:numId="18">
    <w:abstractNumId w:val="3"/>
  </w:num>
  <w:num w:numId="19">
    <w:abstractNumId w:val="22"/>
  </w:num>
  <w:num w:numId="20">
    <w:abstractNumId w:val="17"/>
  </w:num>
  <w:num w:numId="21">
    <w:abstractNumId w:val="0"/>
  </w:num>
  <w:num w:numId="22">
    <w:abstractNumId w:val="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69D7"/>
    <w:rsid w:val="000627EF"/>
    <w:rsid w:val="000633B5"/>
    <w:rsid w:val="000B2B17"/>
    <w:rsid w:val="000F3D41"/>
    <w:rsid w:val="001032D6"/>
    <w:rsid w:val="001420DF"/>
    <w:rsid w:val="00160BE2"/>
    <w:rsid w:val="001731DE"/>
    <w:rsid w:val="0018577F"/>
    <w:rsid w:val="001C7999"/>
    <w:rsid w:val="00260591"/>
    <w:rsid w:val="0029751D"/>
    <w:rsid w:val="003164EA"/>
    <w:rsid w:val="00317525"/>
    <w:rsid w:val="004A208C"/>
    <w:rsid w:val="004D6C24"/>
    <w:rsid w:val="004E3270"/>
    <w:rsid w:val="00552634"/>
    <w:rsid w:val="00591989"/>
    <w:rsid w:val="005A7730"/>
    <w:rsid w:val="005E55CA"/>
    <w:rsid w:val="005E7DC4"/>
    <w:rsid w:val="006357ED"/>
    <w:rsid w:val="006B7196"/>
    <w:rsid w:val="0072037E"/>
    <w:rsid w:val="00726E5C"/>
    <w:rsid w:val="007733AD"/>
    <w:rsid w:val="007931BD"/>
    <w:rsid w:val="00856853"/>
    <w:rsid w:val="008A6B38"/>
    <w:rsid w:val="008C7DC1"/>
    <w:rsid w:val="00990F04"/>
    <w:rsid w:val="00995E04"/>
    <w:rsid w:val="009B3496"/>
    <w:rsid w:val="00A50D85"/>
    <w:rsid w:val="00A9316F"/>
    <w:rsid w:val="00AB0BC1"/>
    <w:rsid w:val="00AD69D7"/>
    <w:rsid w:val="00AF030E"/>
    <w:rsid w:val="00B37DB0"/>
    <w:rsid w:val="00B46866"/>
    <w:rsid w:val="00B53424"/>
    <w:rsid w:val="00BA0BF4"/>
    <w:rsid w:val="00BB4133"/>
    <w:rsid w:val="00C3683E"/>
    <w:rsid w:val="00C47106"/>
    <w:rsid w:val="00C617CC"/>
    <w:rsid w:val="00C63305"/>
    <w:rsid w:val="00CA1DEA"/>
    <w:rsid w:val="00D634AC"/>
    <w:rsid w:val="00D908FA"/>
    <w:rsid w:val="00DB523E"/>
    <w:rsid w:val="00DD0701"/>
    <w:rsid w:val="00DE092C"/>
    <w:rsid w:val="00DF09B5"/>
    <w:rsid w:val="00DF4CAF"/>
    <w:rsid w:val="00E11120"/>
    <w:rsid w:val="00E56AC3"/>
    <w:rsid w:val="00EC543C"/>
    <w:rsid w:val="00EC585D"/>
    <w:rsid w:val="00EC7BC6"/>
    <w:rsid w:val="00ED6C71"/>
    <w:rsid w:val="00F76DF1"/>
    <w:rsid w:val="00F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B5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9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">
    <w:name w:val="Light Grid Accent 1"/>
    <w:basedOn w:val="Tablanormal"/>
    <w:uiPriority w:val="62"/>
    <w:rsid w:val="00DE092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1158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silgivar</cp:lastModifiedBy>
  <cp:revision>2</cp:revision>
  <dcterms:created xsi:type="dcterms:W3CDTF">2011-03-24T19:41:00Z</dcterms:created>
  <dcterms:modified xsi:type="dcterms:W3CDTF">2011-03-24T19:41:00Z</dcterms:modified>
</cp:coreProperties>
</file>