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86" w:rsidRPr="00F90AD5" w:rsidRDefault="009C1186" w:rsidP="00A97FD4">
      <w:pPr>
        <w:keepNext/>
        <w:autoSpaceDE w:val="0"/>
        <w:autoSpaceDN w:val="0"/>
        <w:adjustRightInd w:val="0"/>
        <w:rPr>
          <w:b/>
          <w:bCs/>
          <w:color w:val="000000"/>
          <w:sz w:val="20"/>
          <w:szCs w:val="20"/>
        </w:rPr>
        <w:sectPr w:rsidR="009C1186" w:rsidRPr="00F90AD5" w:rsidSect="009C1186">
          <w:pgSz w:w="11907" w:h="16840" w:code="9"/>
          <w:pgMar w:top="2268" w:right="1361" w:bottom="1985" w:left="2268" w:header="709" w:footer="709" w:gutter="0"/>
          <w:cols w:num="2" w:space="708" w:equalWidth="0">
            <w:col w:w="3785" w:space="708"/>
            <w:col w:w="3785"/>
          </w:cols>
          <w:titlePg/>
          <w:docGrid w:linePitch="360"/>
        </w:sectPr>
      </w:pPr>
    </w:p>
    <w:p w:rsidR="00D3790F" w:rsidRPr="00F90AD5" w:rsidRDefault="00D3790F" w:rsidP="00D3790F">
      <w:pPr>
        <w:autoSpaceDE w:val="0"/>
        <w:autoSpaceDN w:val="0"/>
        <w:adjustRightInd w:val="0"/>
        <w:jc w:val="center"/>
        <w:rPr>
          <w:rFonts w:ascii="Arial" w:hAnsi="Arial" w:cs="Arial"/>
          <w:color w:val="000000"/>
        </w:rPr>
      </w:pPr>
      <w:r w:rsidRPr="00F90AD5">
        <w:rPr>
          <w:rFonts w:ascii="Arial" w:hAnsi="Arial" w:cs="Arial"/>
          <w:b/>
          <w:bCs/>
          <w:i/>
          <w:iCs/>
          <w:lang w:val="es-EC"/>
        </w:rPr>
        <w:lastRenderedPageBreak/>
        <w:t xml:space="preserve">“ANÁLISIS TÉCNICO DE </w:t>
      </w:r>
      <w:smartTag w:uri="urn:schemas-microsoft-com:office:smarttags" w:element="PersonName">
        <w:smartTagPr>
          <w:attr w:name="ProductID" w:val="LA REVISIￓN DE"/>
        </w:smartTagPr>
        <w:r w:rsidRPr="00F90AD5">
          <w:rPr>
            <w:rFonts w:ascii="Arial" w:hAnsi="Arial" w:cs="Arial"/>
            <w:b/>
            <w:bCs/>
            <w:i/>
            <w:iCs/>
            <w:lang w:val="es-EC"/>
          </w:rPr>
          <w:t>LA REVISIÓN DE</w:t>
        </w:r>
      </w:smartTag>
      <w:r w:rsidRPr="00F90AD5">
        <w:rPr>
          <w:rFonts w:ascii="Arial" w:hAnsi="Arial" w:cs="Arial"/>
          <w:b/>
          <w:bCs/>
          <w:i/>
          <w:iCs/>
          <w:lang w:val="es-EC"/>
        </w:rPr>
        <w:t xml:space="preserve"> CONTRATOS EN </w:t>
      </w:r>
      <w:smartTag w:uri="urn:schemas-microsoft-com:office:smarttags" w:element="PersonName">
        <w:smartTagPr>
          <w:attr w:name="ProductID" w:val="LA JEFATURA CULTURAL"/>
        </w:smartTagPr>
        <w:r w:rsidRPr="00F90AD5">
          <w:rPr>
            <w:rFonts w:ascii="Arial" w:hAnsi="Arial" w:cs="Arial"/>
            <w:b/>
            <w:bCs/>
            <w:i/>
            <w:iCs/>
            <w:lang w:val="es-EC"/>
          </w:rPr>
          <w:t>LA JEFATURA CULTURAL</w:t>
        </w:r>
      </w:smartTag>
      <w:r w:rsidRPr="00F90AD5">
        <w:rPr>
          <w:rFonts w:ascii="Arial" w:hAnsi="Arial" w:cs="Arial"/>
          <w:b/>
          <w:bCs/>
          <w:i/>
          <w:iCs/>
          <w:lang w:val="es-EC"/>
        </w:rPr>
        <w:t xml:space="preserve"> REGIONAL EN MANTA, PORTOVIEJO Y SANTA ELENA PERIODO </w:t>
      </w:r>
      <w:smartTag w:uri="urn:schemas-microsoft-com:office:smarttags" w:element="metricconverter">
        <w:smartTagPr>
          <w:attr w:name="ProductID" w:val="2006”"/>
        </w:smartTagPr>
        <w:r w:rsidRPr="00F90AD5">
          <w:rPr>
            <w:rFonts w:ascii="Arial" w:hAnsi="Arial" w:cs="Arial"/>
            <w:b/>
            <w:bCs/>
            <w:i/>
            <w:iCs/>
            <w:lang w:val="es-EC"/>
          </w:rPr>
          <w:t>2006</w:t>
        </w:r>
        <w:r w:rsidRPr="00F90AD5">
          <w:rPr>
            <w:rFonts w:ascii="Palatino Linotype" w:hAnsi="Palatino Linotype" w:cs="Palatino Linotype"/>
            <w:b/>
            <w:bCs/>
            <w:i/>
            <w:iCs/>
            <w:lang w:val="es-EC"/>
          </w:rPr>
          <w:t>”</w:t>
        </w:r>
      </w:smartTag>
    </w:p>
    <w:p w:rsidR="00D3790F" w:rsidRPr="00F90AD5" w:rsidRDefault="00D3790F" w:rsidP="00D3790F">
      <w:pPr>
        <w:autoSpaceDE w:val="0"/>
        <w:autoSpaceDN w:val="0"/>
        <w:adjustRightInd w:val="0"/>
        <w:jc w:val="center"/>
        <w:rPr>
          <w:b/>
          <w:bCs/>
          <w:sz w:val="20"/>
          <w:szCs w:val="20"/>
        </w:rPr>
      </w:pPr>
    </w:p>
    <w:p w:rsidR="00D3790F" w:rsidRPr="00F90AD5" w:rsidRDefault="00D3790F" w:rsidP="00D3790F">
      <w:pPr>
        <w:autoSpaceDE w:val="0"/>
        <w:autoSpaceDN w:val="0"/>
        <w:adjustRightInd w:val="0"/>
        <w:jc w:val="center"/>
        <w:rPr>
          <w:rFonts w:ascii="Arial" w:hAnsi="Arial" w:cs="Arial"/>
          <w:sz w:val="20"/>
          <w:szCs w:val="20"/>
          <w:vertAlign w:val="superscript"/>
        </w:rPr>
      </w:pPr>
      <w:r w:rsidRPr="00F90AD5">
        <w:rPr>
          <w:sz w:val="20"/>
          <w:szCs w:val="20"/>
        </w:rPr>
        <w:t>Pamela Hidalgo Farias</w:t>
      </w:r>
      <w:r w:rsidRPr="00F90AD5">
        <w:rPr>
          <w:rFonts w:ascii="Arial" w:hAnsi="Arial" w:cs="Arial"/>
          <w:sz w:val="20"/>
          <w:szCs w:val="20"/>
          <w:vertAlign w:val="superscript"/>
        </w:rPr>
        <w:t>1</w:t>
      </w:r>
      <w:r w:rsidRPr="00F90AD5">
        <w:rPr>
          <w:sz w:val="20"/>
          <w:szCs w:val="20"/>
        </w:rPr>
        <w:t>, Marianela Pastuizaca</w:t>
      </w:r>
      <w:r w:rsidRPr="00F90AD5">
        <w:rPr>
          <w:rFonts w:ascii="Arial" w:hAnsi="Arial" w:cs="Arial"/>
          <w:sz w:val="20"/>
          <w:szCs w:val="20"/>
          <w:vertAlign w:val="superscript"/>
        </w:rPr>
        <w:t>2</w:t>
      </w:r>
    </w:p>
    <w:p w:rsidR="00D3790F" w:rsidRPr="00F90AD5" w:rsidRDefault="00D3790F" w:rsidP="00D3790F">
      <w:pPr>
        <w:autoSpaceDE w:val="0"/>
        <w:autoSpaceDN w:val="0"/>
        <w:adjustRightInd w:val="0"/>
        <w:jc w:val="center"/>
        <w:rPr>
          <w:sz w:val="20"/>
          <w:szCs w:val="20"/>
        </w:rPr>
      </w:pPr>
      <w:r w:rsidRPr="00F90AD5">
        <w:rPr>
          <w:sz w:val="20"/>
          <w:szCs w:val="20"/>
        </w:rPr>
        <w:t>Auditora C.P.A.</w:t>
      </w:r>
      <w:r w:rsidRPr="00F90AD5">
        <w:rPr>
          <w:rFonts w:ascii="Arial" w:hAnsi="Arial" w:cs="Arial"/>
          <w:sz w:val="20"/>
          <w:szCs w:val="20"/>
          <w:vertAlign w:val="superscript"/>
        </w:rPr>
        <w:t xml:space="preserve"> 1</w:t>
      </w:r>
      <w:r w:rsidRPr="00F90AD5">
        <w:rPr>
          <w:sz w:val="20"/>
          <w:szCs w:val="20"/>
        </w:rPr>
        <w:t>,</w:t>
      </w:r>
      <w:r w:rsidRPr="00F90AD5">
        <w:rPr>
          <w:rFonts w:ascii="Arial" w:hAnsi="Arial" w:cs="Arial"/>
          <w:sz w:val="20"/>
          <w:szCs w:val="20"/>
          <w:vertAlign w:val="superscript"/>
        </w:rPr>
        <w:t xml:space="preserve"> </w:t>
      </w:r>
      <w:r w:rsidRPr="00F90AD5">
        <w:rPr>
          <w:sz w:val="20"/>
          <w:szCs w:val="20"/>
        </w:rPr>
        <w:t xml:space="preserve"> Ingeniera en Potencia, Director  </w:t>
      </w:r>
      <w:r w:rsidRPr="00F90AD5">
        <w:rPr>
          <w:rFonts w:ascii="Arial" w:hAnsi="Arial" w:cs="Arial"/>
          <w:sz w:val="20"/>
          <w:szCs w:val="20"/>
          <w:vertAlign w:val="superscript"/>
        </w:rPr>
        <w:t>2</w:t>
      </w:r>
      <w:r w:rsidRPr="00F90AD5">
        <w:rPr>
          <w:sz w:val="20"/>
          <w:szCs w:val="20"/>
        </w:rPr>
        <w:t xml:space="preserve"> </w:t>
      </w:r>
      <w:r w:rsidRPr="00F90AD5">
        <w:rPr>
          <w:rFonts w:ascii="Arial" w:hAnsi="Arial" w:cs="Arial"/>
          <w:sz w:val="20"/>
          <w:szCs w:val="20"/>
          <w:vertAlign w:val="superscript"/>
        </w:rPr>
        <w:t xml:space="preserve"> </w:t>
      </w:r>
    </w:p>
    <w:p w:rsidR="00D3790F" w:rsidRPr="00F90AD5" w:rsidRDefault="00D3790F" w:rsidP="00D3790F">
      <w:pPr>
        <w:tabs>
          <w:tab w:val="center" w:pos="4650"/>
          <w:tab w:val="center" w:pos="6855"/>
        </w:tabs>
        <w:autoSpaceDE w:val="0"/>
        <w:autoSpaceDN w:val="0"/>
        <w:adjustRightInd w:val="0"/>
        <w:rPr>
          <w:color w:val="FF0000"/>
          <w:sz w:val="20"/>
          <w:szCs w:val="20"/>
        </w:rPr>
      </w:pPr>
      <w:r w:rsidRPr="00F90AD5">
        <w:rPr>
          <w:sz w:val="20"/>
          <w:szCs w:val="20"/>
        </w:rPr>
        <w:tab/>
        <w:t>Instituto de Ciencias Matemáticas</w:t>
      </w:r>
      <w:r w:rsidRPr="00F90AD5">
        <w:rPr>
          <w:sz w:val="20"/>
          <w:szCs w:val="20"/>
        </w:rPr>
        <w:tab/>
      </w:r>
      <w:r w:rsidRPr="00F90AD5">
        <w:rPr>
          <w:b/>
          <w:bCs/>
          <w:color w:val="FF0000"/>
          <w:sz w:val="20"/>
          <w:szCs w:val="20"/>
        </w:rPr>
        <w:t xml:space="preserve"> </w:t>
      </w:r>
    </w:p>
    <w:p w:rsidR="00D3790F" w:rsidRPr="00F90AD5" w:rsidRDefault="00D3790F" w:rsidP="00D3790F">
      <w:pPr>
        <w:tabs>
          <w:tab w:val="center" w:pos="4650"/>
          <w:tab w:val="center" w:pos="6870"/>
          <w:tab w:val="center" w:pos="7275"/>
          <w:tab w:val="center" w:pos="7740"/>
        </w:tabs>
        <w:autoSpaceDE w:val="0"/>
        <w:autoSpaceDN w:val="0"/>
        <w:adjustRightInd w:val="0"/>
        <w:rPr>
          <w:sz w:val="20"/>
          <w:szCs w:val="20"/>
        </w:rPr>
      </w:pPr>
      <w:r w:rsidRPr="00F90AD5">
        <w:rPr>
          <w:sz w:val="20"/>
          <w:szCs w:val="20"/>
        </w:rPr>
        <w:tab/>
        <w:t>Escuela Superior Politécnica del Litoral</w:t>
      </w:r>
      <w:r w:rsidRPr="00F90AD5">
        <w:rPr>
          <w:sz w:val="20"/>
          <w:szCs w:val="20"/>
        </w:rPr>
        <w:tab/>
      </w:r>
    </w:p>
    <w:p w:rsidR="00D3790F" w:rsidRPr="00F90AD5" w:rsidRDefault="00D3790F" w:rsidP="00D3790F">
      <w:pPr>
        <w:autoSpaceDE w:val="0"/>
        <w:autoSpaceDN w:val="0"/>
        <w:adjustRightInd w:val="0"/>
        <w:jc w:val="center"/>
        <w:rPr>
          <w:sz w:val="20"/>
          <w:szCs w:val="20"/>
        </w:rPr>
      </w:pPr>
      <w:r w:rsidRPr="00F90AD5">
        <w:rPr>
          <w:sz w:val="20"/>
          <w:szCs w:val="20"/>
        </w:rPr>
        <w:t>Campus “Gustavo Galindo V.”, Km. 30.5, vía Perimetral</w:t>
      </w:r>
    </w:p>
    <w:p w:rsidR="00D3790F" w:rsidRPr="00F90AD5" w:rsidRDefault="00D3790F" w:rsidP="00D3790F">
      <w:pPr>
        <w:autoSpaceDE w:val="0"/>
        <w:autoSpaceDN w:val="0"/>
        <w:adjustRightInd w:val="0"/>
        <w:jc w:val="center"/>
        <w:rPr>
          <w:sz w:val="20"/>
          <w:szCs w:val="20"/>
        </w:rPr>
      </w:pPr>
      <w:r w:rsidRPr="00F90AD5">
        <w:rPr>
          <w:sz w:val="20"/>
          <w:szCs w:val="20"/>
        </w:rPr>
        <w:t>Apartado 09-01-5863, Guayaquil, Ecuador</w:t>
      </w:r>
    </w:p>
    <w:p w:rsidR="00D3790F" w:rsidRPr="00F90AD5" w:rsidRDefault="00D3790F" w:rsidP="00D3790F">
      <w:pPr>
        <w:autoSpaceDE w:val="0"/>
        <w:autoSpaceDN w:val="0"/>
        <w:adjustRightInd w:val="0"/>
        <w:jc w:val="center"/>
        <w:rPr>
          <w:b/>
          <w:bCs/>
          <w:sz w:val="20"/>
          <w:szCs w:val="20"/>
        </w:rPr>
      </w:pPr>
      <w:r w:rsidRPr="00F90AD5">
        <w:rPr>
          <w:color w:val="0000FF"/>
          <w:sz w:val="20"/>
          <w:szCs w:val="20"/>
          <w:u w:val="single"/>
        </w:rPr>
        <w:t>pamhi_19@hotmail.com</w:t>
      </w:r>
      <w:r w:rsidRPr="00F90AD5">
        <w:rPr>
          <w:sz w:val="20"/>
          <w:szCs w:val="20"/>
        </w:rPr>
        <w:t xml:space="preserve">, </w:t>
      </w:r>
      <w:r w:rsidRPr="00F90AD5">
        <w:rPr>
          <w:color w:val="0000FF"/>
          <w:sz w:val="20"/>
          <w:szCs w:val="20"/>
          <w:u w:val="single"/>
        </w:rPr>
        <w:t>mpastuiz@espol.edu.ec</w:t>
      </w:r>
      <w:r w:rsidRPr="00F90AD5">
        <w:rPr>
          <w:sz w:val="20"/>
          <w:szCs w:val="20"/>
        </w:rPr>
        <w:t xml:space="preserve">                            </w:t>
      </w:r>
    </w:p>
    <w:p w:rsidR="00D3790F" w:rsidRPr="00F90AD5" w:rsidRDefault="00D3790F" w:rsidP="00D3790F">
      <w:pPr>
        <w:autoSpaceDE w:val="0"/>
        <w:autoSpaceDN w:val="0"/>
        <w:adjustRightInd w:val="0"/>
        <w:jc w:val="center"/>
        <w:rPr>
          <w:sz w:val="20"/>
          <w:szCs w:val="20"/>
        </w:rPr>
      </w:pPr>
    </w:p>
    <w:p w:rsidR="00D3790F" w:rsidRPr="00F90AD5" w:rsidRDefault="00D3790F" w:rsidP="00D3790F">
      <w:pPr>
        <w:tabs>
          <w:tab w:val="center" w:pos="4650"/>
          <w:tab w:val="center" w:pos="5400"/>
          <w:tab w:val="center" w:pos="5610"/>
        </w:tabs>
        <w:autoSpaceDE w:val="0"/>
        <w:autoSpaceDN w:val="0"/>
        <w:adjustRightInd w:val="0"/>
        <w:rPr>
          <w:b/>
          <w:bCs/>
        </w:rPr>
      </w:pPr>
      <w:r w:rsidRPr="00F90AD5">
        <w:rPr>
          <w:b/>
          <w:bCs/>
          <w:sz w:val="20"/>
          <w:szCs w:val="20"/>
        </w:rPr>
        <w:tab/>
      </w:r>
      <w:r w:rsidRPr="00F90AD5">
        <w:rPr>
          <w:b/>
          <w:bCs/>
        </w:rPr>
        <w:t>Resumen</w:t>
      </w:r>
      <w:r w:rsidRPr="00F90AD5">
        <w:rPr>
          <w:b/>
          <w:bCs/>
        </w:rPr>
        <w:tab/>
      </w:r>
      <w:r w:rsidRPr="00F90AD5">
        <w:rPr>
          <w:b/>
          <w:bCs/>
        </w:rPr>
        <w:tab/>
      </w:r>
    </w:p>
    <w:p w:rsidR="00D3790F" w:rsidRPr="00F90AD5" w:rsidRDefault="00D3790F" w:rsidP="00D3790F">
      <w:pPr>
        <w:autoSpaceDE w:val="0"/>
        <w:autoSpaceDN w:val="0"/>
        <w:adjustRightInd w:val="0"/>
        <w:jc w:val="both"/>
        <w:rPr>
          <w:b/>
          <w:bCs/>
          <w:i/>
          <w:iCs/>
          <w:sz w:val="20"/>
          <w:szCs w:val="20"/>
        </w:rPr>
      </w:pPr>
      <w:r w:rsidRPr="00F90AD5">
        <w:rPr>
          <w:b/>
          <w:bCs/>
          <w:i/>
          <w:iCs/>
          <w:sz w:val="20"/>
          <w:szCs w:val="20"/>
        </w:rPr>
        <w:t xml:space="preserve">  </w:t>
      </w:r>
    </w:p>
    <w:p w:rsidR="00D3790F" w:rsidRPr="00F90AD5" w:rsidRDefault="00D3790F" w:rsidP="00D3790F">
      <w:pPr>
        <w:autoSpaceDE w:val="0"/>
        <w:autoSpaceDN w:val="0"/>
        <w:adjustRightInd w:val="0"/>
        <w:spacing w:line="360" w:lineRule="auto"/>
        <w:jc w:val="both"/>
        <w:rPr>
          <w:i/>
          <w:iCs/>
          <w:sz w:val="20"/>
          <w:szCs w:val="20"/>
        </w:rPr>
      </w:pPr>
      <w:r w:rsidRPr="00F90AD5">
        <w:rPr>
          <w:i/>
          <w:iCs/>
          <w:sz w:val="20"/>
          <w:szCs w:val="20"/>
        </w:rPr>
        <w:t xml:space="preserve">El Análisis técnico de la revisión de contratos en </w:t>
      </w:r>
      <w:smartTag w:uri="urn:schemas-microsoft-com:office:smarttags" w:element="PersonName">
        <w:smartTagPr>
          <w:attr w:name="ProductID" w:val="LA JEFATURA CULTURAL"/>
        </w:smartTagPr>
        <w:r w:rsidRPr="00F90AD5">
          <w:rPr>
            <w:i/>
            <w:iCs/>
            <w:sz w:val="20"/>
            <w:szCs w:val="20"/>
          </w:rPr>
          <w:t>la Jefatura Cultural</w:t>
        </w:r>
      </w:smartTag>
      <w:r w:rsidRPr="00F90AD5">
        <w:rPr>
          <w:i/>
          <w:iCs/>
          <w:sz w:val="20"/>
          <w:szCs w:val="20"/>
        </w:rPr>
        <w:t xml:space="preserve"> Regional en Manta, Portoviejo y Santa Elena período 2006 radica en la valoración de variables para la suscripción de contratos de las obras ejecutadas en los espacios culturales de dichas ciudades,  tiempos de demora, tiempos de entrega de garantías entre otras a través de técnicas estadísticas y software para un mejor análisis de datos.  Así como otras variables de interés que según la experiencia son relevantes y que deberían ser estudiadas.</w:t>
      </w:r>
    </w:p>
    <w:p w:rsidR="00D3790F" w:rsidRPr="00F90AD5" w:rsidRDefault="00D3790F" w:rsidP="00D3790F">
      <w:pPr>
        <w:autoSpaceDE w:val="0"/>
        <w:autoSpaceDN w:val="0"/>
        <w:adjustRightInd w:val="0"/>
        <w:spacing w:line="360" w:lineRule="auto"/>
        <w:jc w:val="both"/>
        <w:rPr>
          <w:i/>
          <w:iCs/>
          <w:sz w:val="20"/>
          <w:szCs w:val="20"/>
        </w:rPr>
      </w:pPr>
    </w:p>
    <w:p w:rsidR="00D3790F" w:rsidRPr="00F90AD5" w:rsidRDefault="00D3790F" w:rsidP="00D3790F">
      <w:pPr>
        <w:keepNext/>
        <w:autoSpaceDE w:val="0"/>
        <w:autoSpaceDN w:val="0"/>
        <w:adjustRightInd w:val="0"/>
        <w:spacing w:before="60" w:line="360" w:lineRule="auto"/>
        <w:jc w:val="both"/>
        <w:rPr>
          <w:i/>
          <w:iCs/>
          <w:sz w:val="20"/>
          <w:szCs w:val="20"/>
        </w:rPr>
      </w:pPr>
      <w:r w:rsidRPr="00F90AD5">
        <w:rPr>
          <w:i/>
          <w:iCs/>
          <w:sz w:val="20"/>
          <w:szCs w:val="20"/>
        </w:rPr>
        <w:t>Aquí es donde inicia nuestro proceso desde la entrega del requerimiento de cierta obra con la petición de la elaboración de un contrato hasta cuando este es suscrito por las partes interesadas; y la suscripción de las actas de entrega recepción de los trabajos debidamente ejecutados.</w:t>
      </w:r>
    </w:p>
    <w:p w:rsidR="00D3790F" w:rsidRPr="00F90AD5" w:rsidRDefault="00D3790F" w:rsidP="00D3790F">
      <w:pPr>
        <w:autoSpaceDE w:val="0"/>
        <w:autoSpaceDN w:val="0"/>
        <w:adjustRightInd w:val="0"/>
        <w:rPr>
          <w:i/>
          <w:iCs/>
          <w:sz w:val="20"/>
          <w:szCs w:val="20"/>
        </w:rPr>
      </w:pPr>
    </w:p>
    <w:p w:rsidR="00D3790F" w:rsidRPr="00F90AD5" w:rsidRDefault="00D3790F" w:rsidP="00D3790F">
      <w:pPr>
        <w:keepNext/>
        <w:autoSpaceDE w:val="0"/>
        <w:autoSpaceDN w:val="0"/>
        <w:adjustRightInd w:val="0"/>
        <w:spacing w:before="60" w:line="360" w:lineRule="auto"/>
        <w:jc w:val="both"/>
        <w:rPr>
          <w:i/>
          <w:iCs/>
          <w:sz w:val="20"/>
          <w:szCs w:val="20"/>
        </w:rPr>
      </w:pPr>
      <w:r w:rsidRPr="00F90AD5">
        <w:rPr>
          <w:i/>
          <w:iCs/>
          <w:sz w:val="20"/>
          <w:szCs w:val="20"/>
        </w:rPr>
        <w:t xml:space="preserve">A través de este análisis se pretende valorar la eficiencia del control interno en el proceso pre-contractual y contractual, identificando los tiempos  demora en los mismos y evaluar  las principales causas que lo ocasionan. </w:t>
      </w:r>
    </w:p>
    <w:p w:rsidR="00D3790F" w:rsidRPr="00F90AD5" w:rsidRDefault="00D3790F" w:rsidP="00D3790F">
      <w:pPr>
        <w:autoSpaceDE w:val="0"/>
        <w:autoSpaceDN w:val="0"/>
        <w:adjustRightInd w:val="0"/>
        <w:jc w:val="center"/>
        <w:rPr>
          <w:b/>
          <w:bCs/>
          <w:lang w:val="en-GB"/>
        </w:rPr>
      </w:pPr>
      <w:r w:rsidRPr="00F90AD5">
        <w:rPr>
          <w:b/>
          <w:bCs/>
          <w:lang w:val="en-GB"/>
        </w:rPr>
        <w:t>Abstract</w:t>
      </w:r>
    </w:p>
    <w:p w:rsidR="00D3790F" w:rsidRPr="00F90AD5" w:rsidRDefault="00D3790F" w:rsidP="00D3790F">
      <w:pPr>
        <w:autoSpaceDE w:val="0"/>
        <w:autoSpaceDN w:val="0"/>
        <w:adjustRightInd w:val="0"/>
        <w:jc w:val="center"/>
        <w:rPr>
          <w:b/>
          <w:bCs/>
          <w:sz w:val="20"/>
          <w:szCs w:val="20"/>
          <w:lang w:val="en-GB"/>
        </w:rPr>
      </w:pPr>
    </w:p>
    <w:p w:rsidR="00D3790F" w:rsidRPr="00F90AD5" w:rsidRDefault="00D3790F" w:rsidP="00D3790F">
      <w:pPr>
        <w:autoSpaceDE w:val="0"/>
        <w:autoSpaceDN w:val="0"/>
        <w:adjustRightInd w:val="0"/>
        <w:jc w:val="both"/>
        <w:rPr>
          <w:i/>
          <w:iCs/>
          <w:sz w:val="20"/>
          <w:szCs w:val="20"/>
          <w:lang w:val="en-US"/>
        </w:rPr>
      </w:pPr>
      <w:r w:rsidRPr="00F90AD5">
        <w:rPr>
          <w:i/>
          <w:iCs/>
          <w:sz w:val="20"/>
          <w:szCs w:val="20"/>
          <w:lang w:val="en-US"/>
        </w:rPr>
        <w:t xml:space="preserve">The technical analysis of the review of contracts in the 2006 period of the Cultural Regional Headquarters of Manta, Portoviejo and Santa Elena, is based in the appraisal of the variables for the submission of the contracts of the constructions that were completed in the cultural areas of the mentioned cities - such as times of delay, times of deliveries of warranty, and other variables that are considered important according to the past experience- through statistical techniques and software which leads to a better analysis of data. </w:t>
      </w:r>
    </w:p>
    <w:p w:rsidR="00D3790F" w:rsidRPr="00F90AD5" w:rsidRDefault="00D3790F" w:rsidP="00D3790F">
      <w:pPr>
        <w:autoSpaceDE w:val="0"/>
        <w:autoSpaceDN w:val="0"/>
        <w:adjustRightInd w:val="0"/>
        <w:jc w:val="both"/>
        <w:rPr>
          <w:i/>
          <w:iCs/>
          <w:sz w:val="20"/>
          <w:szCs w:val="20"/>
          <w:lang w:val="en-US"/>
        </w:rPr>
      </w:pPr>
    </w:p>
    <w:p w:rsidR="00D3790F" w:rsidRPr="00F90AD5" w:rsidRDefault="00D3790F" w:rsidP="00D3790F">
      <w:pPr>
        <w:autoSpaceDE w:val="0"/>
        <w:autoSpaceDN w:val="0"/>
        <w:adjustRightInd w:val="0"/>
        <w:jc w:val="both"/>
        <w:rPr>
          <w:i/>
          <w:iCs/>
          <w:sz w:val="20"/>
          <w:szCs w:val="20"/>
          <w:lang w:val="en-US"/>
        </w:rPr>
      </w:pPr>
      <w:r w:rsidRPr="00F90AD5">
        <w:rPr>
          <w:i/>
          <w:iCs/>
          <w:sz w:val="20"/>
          <w:szCs w:val="20"/>
          <w:lang w:val="en-US"/>
        </w:rPr>
        <w:t>Here is where our process begins, from the delivery of the requirements for certain construction with the petition of the elaboration of a contract, until this is submitted by the interested parties and the submission of the delivery-reception certificates of the constructions rightfully completed.</w:t>
      </w:r>
    </w:p>
    <w:p w:rsidR="00D3790F" w:rsidRPr="00F90AD5" w:rsidRDefault="00D3790F" w:rsidP="00D3790F">
      <w:pPr>
        <w:autoSpaceDE w:val="0"/>
        <w:autoSpaceDN w:val="0"/>
        <w:adjustRightInd w:val="0"/>
        <w:jc w:val="both"/>
        <w:rPr>
          <w:i/>
          <w:iCs/>
          <w:sz w:val="20"/>
          <w:szCs w:val="20"/>
          <w:lang w:val="en-US"/>
        </w:rPr>
      </w:pPr>
    </w:p>
    <w:p w:rsidR="00D3790F" w:rsidRPr="00F90AD5" w:rsidRDefault="00D3790F" w:rsidP="00D3790F">
      <w:pPr>
        <w:autoSpaceDE w:val="0"/>
        <w:autoSpaceDN w:val="0"/>
        <w:adjustRightInd w:val="0"/>
        <w:jc w:val="both"/>
        <w:rPr>
          <w:i/>
          <w:iCs/>
          <w:sz w:val="20"/>
          <w:szCs w:val="20"/>
          <w:lang w:val="en-US"/>
        </w:rPr>
      </w:pPr>
      <w:r w:rsidRPr="00F90AD5">
        <w:rPr>
          <w:i/>
          <w:iCs/>
          <w:sz w:val="20"/>
          <w:szCs w:val="20"/>
          <w:lang w:val="en-US"/>
        </w:rPr>
        <w:t>Through this analysis, it is intended to measure the efficiency of the internal control of the pre-contractual and contractual processes, identifying their times of delay and evaluating what causes them.</w:t>
      </w:r>
    </w:p>
    <w:p w:rsidR="009C1186" w:rsidRPr="00F90AD5" w:rsidRDefault="009C1186" w:rsidP="00D3790F">
      <w:pPr>
        <w:autoSpaceDE w:val="0"/>
        <w:autoSpaceDN w:val="0"/>
        <w:adjustRightInd w:val="0"/>
        <w:jc w:val="both"/>
        <w:rPr>
          <w:b/>
          <w:bCs/>
          <w:sz w:val="20"/>
          <w:szCs w:val="20"/>
        </w:rPr>
        <w:sectPr w:rsidR="009C1186" w:rsidRPr="00F90AD5" w:rsidSect="009C1186">
          <w:type w:val="continuous"/>
          <w:pgSz w:w="11907" w:h="16840" w:code="9"/>
          <w:pgMar w:top="2268" w:right="1361" w:bottom="1985" w:left="2268" w:header="709" w:footer="709" w:gutter="0"/>
          <w:cols w:space="708"/>
          <w:titlePg/>
          <w:docGrid w:linePitch="360"/>
        </w:sectPr>
      </w:pPr>
    </w:p>
    <w:p w:rsidR="00F90AD5" w:rsidRDefault="00F90AD5" w:rsidP="00D3790F">
      <w:pPr>
        <w:autoSpaceDE w:val="0"/>
        <w:autoSpaceDN w:val="0"/>
        <w:adjustRightInd w:val="0"/>
        <w:jc w:val="both"/>
        <w:rPr>
          <w:b/>
          <w:bCs/>
          <w:sz w:val="20"/>
          <w:szCs w:val="20"/>
        </w:rPr>
      </w:pPr>
    </w:p>
    <w:p w:rsidR="00F90AD5" w:rsidRDefault="00F90AD5" w:rsidP="00D3790F">
      <w:pPr>
        <w:autoSpaceDE w:val="0"/>
        <w:autoSpaceDN w:val="0"/>
        <w:adjustRightInd w:val="0"/>
        <w:jc w:val="both"/>
        <w:rPr>
          <w:b/>
          <w:bCs/>
          <w:sz w:val="20"/>
          <w:szCs w:val="20"/>
        </w:rPr>
      </w:pPr>
    </w:p>
    <w:p w:rsidR="00D3790F" w:rsidRPr="00F90AD5" w:rsidRDefault="00D3790F" w:rsidP="00D3790F">
      <w:pPr>
        <w:autoSpaceDE w:val="0"/>
        <w:autoSpaceDN w:val="0"/>
        <w:adjustRightInd w:val="0"/>
        <w:jc w:val="both"/>
        <w:rPr>
          <w:b/>
          <w:bCs/>
        </w:rPr>
      </w:pPr>
      <w:r w:rsidRPr="00F90AD5">
        <w:rPr>
          <w:b/>
          <w:bCs/>
        </w:rPr>
        <w:lastRenderedPageBreak/>
        <w:t xml:space="preserve">Introducción   </w:t>
      </w:r>
    </w:p>
    <w:p w:rsidR="00D3790F" w:rsidRPr="00F90AD5" w:rsidRDefault="00D3790F"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smartTag w:uri="urn:schemas-microsoft-com:office:smarttags" w:element="PersonName">
        <w:smartTagPr>
          <w:attr w:name="ProductID" w:val="La Sucursal Mayor"/>
        </w:smartTagPr>
        <w:r w:rsidRPr="00F90AD5">
          <w:rPr>
            <w:sz w:val="20"/>
            <w:szCs w:val="20"/>
          </w:rPr>
          <w:t>La Sucursal Mayor</w:t>
        </w:r>
      </w:smartTag>
      <w:r w:rsidRPr="00F90AD5">
        <w:rPr>
          <w:sz w:val="20"/>
          <w:szCs w:val="20"/>
        </w:rPr>
        <w:t xml:space="preserve"> a través de </w:t>
      </w:r>
      <w:smartTag w:uri="urn:schemas-microsoft-com:office:smarttags" w:element="PersonName">
        <w:smartTagPr>
          <w:attr w:name="ProductID" w:val="LA JEFATURA CULTURAL"/>
        </w:smartTagPr>
        <w:r w:rsidRPr="00F90AD5">
          <w:rPr>
            <w:sz w:val="20"/>
            <w:szCs w:val="20"/>
          </w:rPr>
          <w:t>la Jefatura Cultural</w:t>
        </w:r>
      </w:smartTag>
      <w:r w:rsidRPr="00F90AD5">
        <w:rPr>
          <w:sz w:val="20"/>
          <w:szCs w:val="20"/>
        </w:rPr>
        <w:t xml:space="preserve"> es la encargada de administrar, conservar y difundir el Patrimonio Cultural para contribuir al conocimiento de la cultura e identidad ecuatoriana.</w:t>
      </w:r>
    </w:p>
    <w:p w:rsidR="00136149" w:rsidRPr="00F90AD5" w:rsidRDefault="00136149"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 xml:space="preserve">La mayoría de los objetos culturales fueron adquiridos mediante compra, y un número significativo de ellos han sido donados por personas que deseaban preservar para la nación esos bienes y confiaron en la seriedad con que </w:t>
      </w:r>
      <w:smartTag w:uri="urn:schemas-microsoft-com:office:smarttags" w:element="PersonName">
        <w:smartTagPr>
          <w:attr w:name="ProductID" w:val="la Instituci￳n"/>
        </w:smartTagPr>
        <w:r w:rsidRPr="00F90AD5">
          <w:rPr>
            <w:sz w:val="20"/>
            <w:szCs w:val="20"/>
          </w:rPr>
          <w:t>la Institución</w:t>
        </w:r>
      </w:smartTag>
      <w:r w:rsidRPr="00F90AD5">
        <w:rPr>
          <w:sz w:val="20"/>
          <w:szCs w:val="20"/>
        </w:rPr>
        <w:t xml:space="preserve"> asume la tarea de preservarlos, catalogarlos, cuidarlos y difundirlos. </w:t>
      </w:r>
    </w:p>
    <w:p w:rsidR="00136149" w:rsidRPr="00F90AD5" w:rsidRDefault="00136149"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 xml:space="preserve">El presente análisis está basado en obras contratadas en el año 2006, tomando como referencia la proporción del Presupuesto General del Estado del  correspondiente  ejercicio económico,  para iniciar procesos contractuales de obras a ejecutarse en cada espacio cultural a cargo de </w:t>
      </w:r>
      <w:smartTag w:uri="urn:schemas-microsoft-com:office:smarttags" w:element="PersonName">
        <w:smartTagPr>
          <w:attr w:name="ProductID" w:val="La Sucursal Mayor"/>
        </w:smartTagPr>
        <w:r w:rsidRPr="00F90AD5">
          <w:rPr>
            <w:sz w:val="20"/>
            <w:szCs w:val="20"/>
          </w:rPr>
          <w:t>la Unidad Técnica</w:t>
        </w:r>
      </w:smartTag>
      <w:r w:rsidRPr="00F90AD5">
        <w:rPr>
          <w:sz w:val="20"/>
          <w:szCs w:val="20"/>
        </w:rPr>
        <w:t xml:space="preserve"> de </w:t>
      </w:r>
      <w:smartTag w:uri="urn:schemas-microsoft-com:office:smarttags" w:element="PersonName">
        <w:smartTagPr>
          <w:attr w:name="ProductID" w:val="la Jefatura Cultural."/>
        </w:smartTagPr>
        <w:r w:rsidRPr="00F90AD5">
          <w:rPr>
            <w:sz w:val="20"/>
            <w:szCs w:val="20"/>
          </w:rPr>
          <w:t>la Jefatura Cultural.</w:t>
        </w:r>
      </w:smartTag>
      <w:r w:rsidRPr="00F90AD5">
        <w:rPr>
          <w:sz w:val="20"/>
          <w:szCs w:val="20"/>
        </w:rPr>
        <w:t xml:space="preserve"> </w:t>
      </w:r>
    </w:p>
    <w:p w:rsidR="00136149" w:rsidRPr="00F90AD5" w:rsidRDefault="00136149"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Estas obras fueron realizadas en las ciudades de Portoviejo, Manta y Santa Elena, las mismas que comprendieron ejecución de obra y adquisición de bienes.</w:t>
      </w:r>
    </w:p>
    <w:p w:rsidR="00136149" w:rsidRPr="00F90AD5" w:rsidRDefault="00136149" w:rsidP="00D3790F">
      <w:pPr>
        <w:autoSpaceDE w:val="0"/>
        <w:autoSpaceDN w:val="0"/>
        <w:adjustRightInd w:val="0"/>
        <w:jc w:val="both"/>
        <w:rPr>
          <w:sz w:val="20"/>
          <w:szCs w:val="20"/>
        </w:rPr>
      </w:pPr>
    </w:p>
    <w:p w:rsidR="00136149" w:rsidRPr="00F90AD5" w:rsidRDefault="00D3790F" w:rsidP="00D3790F">
      <w:pPr>
        <w:autoSpaceDE w:val="0"/>
        <w:autoSpaceDN w:val="0"/>
        <w:adjustRightInd w:val="0"/>
        <w:jc w:val="both"/>
        <w:rPr>
          <w:sz w:val="20"/>
          <w:szCs w:val="20"/>
        </w:rPr>
      </w:pPr>
      <w:r w:rsidRPr="00F90AD5">
        <w:rPr>
          <w:sz w:val="20"/>
          <w:szCs w:val="20"/>
        </w:rPr>
        <w:t xml:space="preserve">Se propone determinar si el control interno institucional es facilitador de eficiencia, eficacia y cumplimiento de las leyes y normas en los procesos pre-contractual y contractual, los mismos que están sujetos a las disposiciones de </w:t>
      </w:r>
      <w:smartTag w:uri="urn:schemas-microsoft-com:office:smarttags" w:element="PersonName">
        <w:smartTagPr>
          <w:attr w:name="ProductID" w:val="la Ley"/>
        </w:smartTagPr>
        <w:r w:rsidRPr="00F90AD5">
          <w:rPr>
            <w:sz w:val="20"/>
            <w:szCs w:val="20"/>
          </w:rPr>
          <w:t>la Ley</w:t>
        </w:r>
      </w:smartTag>
      <w:r w:rsidRPr="00F90AD5">
        <w:rPr>
          <w:sz w:val="20"/>
          <w:szCs w:val="20"/>
        </w:rPr>
        <w:t xml:space="preserve"> de </w:t>
      </w:r>
      <w:smartTag w:uri="urn:schemas-microsoft-com:office:smarttags" w:element="PersonName">
        <w:smartTagPr>
          <w:attr w:name="ProductID" w:val="la Contrataci￳n P￺blica."/>
        </w:smartTagPr>
        <w:r w:rsidRPr="00F90AD5">
          <w:rPr>
            <w:sz w:val="20"/>
            <w:szCs w:val="20"/>
          </w:rPr>
          <w:t>la Contratación Pública.</w:t>
        </w:r>
      </w:smartTag>
    </w:p>
    <w:p w:rsidR="00D3790F" w:rsidRPr="00F90AD5" w:rsidRDefault="00D3790F" w:rsidP="00D3790F">
      <w:pPr>
        <w:autoSpaceDE w:val="0"/>
        <w:autoSpaceDN w:val="0"/>
        <w:adjustRightInd w:val="0"/>
        <w:jc w:val="both"/>
        <w:rPr>
          <w:sz w:val="20"/>
          <w:szCs w:val="20"/>
        </w:rPr>
      </w:pPr>
      <w:r w:rsidRPr="00F90AD5">
        <w:rPr>
          <w:sz w:val="20"/>
          <w:szCs w:val="20"/>
        </w:rPr>
        <w:t xml:space="preserve"> </w:t>
      </w:r>
    </w:p>
    <w:p w:rsidR="00D3790F" w:rsidRPr="00F90AD5" w:rsidRDefault="00D3790F" w:rsidP="00D3790F">
      <w:pPr>
        <w:autoSpaceDE w:val="0"/>
        <w:autoSpaceDN w:val="0"/>
        <w:adjustRightInd w:val="0"/>
        <w:jc w:val="both"/>
        <w:rPr>
          <w:sz w:val="20"/>
          <w:szCs w:val="20"/>
        </w:rPr>
      </w:pPr>
      <w:r w:rsidRPr="00F90AD5">
        <w:rPr>
          <w:sz w:val="20"/>
          <w:szCs w:val="20"/>
        </w:rPr>
        <w:t>Los procedimientos utilizados son entrevistas, análisis de documentos (contratos, garantías, actas, etc).</w:t>
      </w:r>
    </w:p>
    <w:p w:rsidR="00136149" w:rsidRPr="00F90AD5" w:rsidRDefault="00136149"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Se realizó  un análisis descriptivo de los tiempos demora que existen entre la elaboración de contrato hasta la suscripción del mismo, tiempo demora para la suscripción de actas de recepción, y las posibles causan que lo ocasionan.</w:t>
      </w:r>
    </w:p>
    <w:p w:rsidR="008006E2" w:rsidRPr="00F90AD5" w:rsidRDefault="008006E2" w:rsidP="00D3790F">
      <w:pPr>
        <w:autoSpaceDE w:val="0"/>
        <w:autoSpaceDN w:val="0"/>
        <w:adjustRightInd w:val="0"/>
        <w:jc w:val="both"/>
        <w:rPr>
          <w:sz w:val="20"/>
          <w:szCs w:val="20"/>
        </w:rPr>
      </w:pPr>
    </w:p>
    <w:p w:rsidR="00D3790F" w:rsidRPr="00F90AD5" w:rsidRDefault="00D3790F" w:rsidP="00D3790F">
      <w:pPr>
        <w:autoSpaceDE w:val="0"/>
        <w:autoSpaceDN w:val="0"/>
        <w:adjustRightInd w:val="0"/>
        <w:ind w:left="426" w:hanging="426"/>
        <w:jc w:val="both"/>
        <w:rPr>
          <w:b/>
          <w:bCs/>
        </w:rPr>
      </w:pPr>
      <w:r w:rsidRPr="00F90AD5">
        <w:rPr>
          <w:b/>
          <w:bCs/>
        </w:rPr>
        <w:t>1.  Descripción General y Orientación del   Estudio</w:t>
      </w:r>
    </w:p>
    <w:p w:rsidR="00F90AD5" w:rsidRDefault="00F90AD5" w:rsidP="00D3790F">
      <w:pPr>
        <w:autoSpaceDE w:val="0"/>
        <w:autoSpaceDN w:val="0"/>
        <w:adjustRightInd w:val="0"/>
        <w:jc w:val="both"/>
        <w:rPr>
          <w:b/>
          <w:bCs/>
          <w:sz w:val="20"/>
          <w:szCs w:val="20"/>
        </w:rPr>
      </w:pPr>
    </w:p>
    <w:p w:rsidR="00D3790F" w:rsidRPr="00F90AD5" w:rsidRDefault="00F90AD5" w:rsidP="00D3790F">
      <w:pPr>
        <w:autoSpaceDE w:val="0"/>
        <w:autoSpaceDN w:val="0"/>
        <w:adjustRightInd w:val="0"/>
        <w:jc w:val="both"/>
        <w:rPr>
          <w:sz w:val="20"/>
          <w:szCs w:val="20"/>
        </w:rPr>
      </w:pPr>
      <w:r w:rsidRPr="00F90AD5">
        <w:rPr>
          <w:b/>
          <w:bCs/>
          <w:sz w:val="20"/>
          <w:szCs w:val="20"/>
        </w:rPr>
        <w:t xml:space="preserve">1.1 </w:t>
      </w:r>
      <w:r w:rsidR="00D3790F" w:rsidRPr="00F90AD5">
        <w:rPr>
          <w:b/>
          <w:bCs/>
          <w:sz w:val="20"/>
          <w:szCs w:val="20"/>
        </w:rPr>
        <w:t xml:space="preserve">Planteamiento del Problema.- </w:t>
      </w:r>
      <w:r w:rsidR="00D3790F" w:rsidRPr="00F90AD5">
        <w:rPr>
          <w:sz w:val="20"/>
          <w:szCs w:val="20"/>
        </w:rPr>
        <w:t xml:space="preserve">Se va a realizar la valoración  de las obras contratadas en el  año 2006  a cargo de </w:t>
      </w:r>
      <w:smartTag w:uri="urn:schemas-microsoft-com:office:smarttags" w:element="PersonName">
        <w:smartTagPr>
          <w:attr w:name="ProductID" w:val="la Unidad T￩cnica"/>
        </w:smartTagPr>
        <w:r w:rsidR="00D3790F" w:rsidRPr="00F90AD5">
          <w:rPr>
            <w:sz w:val="20"/>
            <w:szCs w:val="20"/>
          </w:rPr>
          <w:t>la Unidad Técnica</w:t>
        </w:r>
      </w:smartTag>
      <w:r w:rsidR="00D3790F" w:rsidRPr="00F90AD5">
        <w:rPr>
          <w:sz w:val="20"/>
          <w:szCs w:val="20"/>
        </w:rPr>
        <w:t xml:space="preserve"> de </w:t>
      </w:r>
      <w:smartTag w:uri="urn:schemas-microsoft-com:office:smarttags" w:element="PersonName">
        <w:smartTagPr>
          <w:attr w:name="ProductID" w:val="LA JEFATURA CULTURAL"/>
        </w:smartTagPr>
        <w:r w:rsidR="00D3790F" w:rsidRPr="00F90AD5">
          <w:rPr>
            <w:sz w:val="20"/>
            <w:szCs w:val="20"/>
          </w:rPr>
          <w:t>la Jefatura Cultural</w:t>
        </w:r>
      </w:smartTag>
      <w:r w:rsidR="00D3790F" w:rsidRPr="00F90AD5">
        <w:rPr>
          <w:sz w:val="20"/>
          <w:szCs w:val="20"/>
        </w:rPr>
        <w:t xml:space="preserve">, las mismas que fueron realizadas en los espacios culturales de las ciudades de Manta, Portoviejo y Santa Elena. </w:t>
      </w:r>
    </w:p>
    <w:p w:rsidR="00D3790F" w:rsidRPr="00F90AD5" w:rsidRDefault="00D3790F" w:rsidP="00D3790F">
      <w:pPr>
        <w:autoSpaceDE w:val="0"/>
        <w:autoSpaceDN w:val="0"/>
        <w:adjustRightInd w:val="0"/>
        <w:jc w:val="both"/>
        <w:rPr>
          <w:sz w:val="20"/>
          <w:szCs w:val="20"/>
        </w:rPr>
      </w:pPr>
      <w:r w:rsidRPr="00F90AD5">
        <w:rPr>
          <w:sz w:val="20"/>
          <w:szCs w:val="20"/>
        </w:rPr>
        <w:t>Comprendieron construcciones, reconstrucciones, provisión e instalación de equipos</w:t>
      </w:r>
      <w:r w:rsidR="003B0047" w:rsidRPr="00F90AD5">
        <w:rPr>
          <w:sz w:val="20"/>
          <w:szCs w:val="20"/>
        </w:rPr>
        <w:t>;</w:t>
      </w:r>
      <w:r w:rsidRPr="00F90AD5">
        <w:rPr>
          <w:sz w:val="20"/>
          <w:szCs w:val="20"/>
        </w:rPr>
        <w:t xml:space="preserve"> y</w:t>
      </w:r>
      <w:r w:rsidR="003B0047" w:rsidRPr="00F90AD5">
        <w:rPr>
          <w:sz w:val="20"/>
          <w:szCs w:val="20"/>
        </w:rPr>
        <w:t>,</w:t>
      </w:r>
      <w:r w:rsidRPr="00F90AD5">
        <w:rPr>
          <w:sz w:val="20"/>
          <w:szCs w:val="20"/>
        </w:rPr>
        <w:t xml:space="preserve"> compra de mobiliarios.</w:t>
      </w:r>
    </w:p>
    <w:p w:rsidR="00D3790F" w:rsidRPr="00F90AD5" w:rsidRDefault="00D3790F" w:rsidP="00D3790F">
      <w:pPr>
        <w:autoSpaceDE w:val="0"/>
        <w:autoSpaceDN w:val="0"/>
        <w:adjustRightInd w:val="0"/>
        <w:jc w:val="both"/>
        <w:rPr>
          <w:b/>
          <w:bCs/>
          <w:sz w:val="20"/>
          <w:szCs w:val="20"/>
        </w:rPr>
      </w:pPr>
    </w:p>
    <w:p w:rsidR="00D3790F" w:rsidRPr="00F90AD5" w:rsidRDefault="00F90AD5" w:rsidP="00D3790F">
      <w:pPr>
        <w:autoSpaceDE w:val="0"/>
        <w:autoSpaceDN w:val="0"/>
        <w:adjustRightInd w:val="0"/>
        <w:jc w:val="both"/>
        <w:rPr>
          <w:color w:val="000000"/>
          <w:sz w:val="20"/>
          <w:szCs w:val="20"/>
        </w:rPr>
      </w:pPr>
      <w:r w:rsidRPr="00F90AD5">
        <w:rPr>
          <w:b/>
          <w:bCs/>
          <w:sz w:val="20"/>
          <w:szCs w:val="20"/>
        </w:rPr>
        <w:t xml:space="preserve">1.2 </w:t>
      </w:r>
      <w:r w:rsidR="00D3790F" w:rsidRPr="00F90AD5">
        <w:rPr>
          <w:b/>
          <w:bCs/>
          <w:sz w:val="20"/>
          <w:szCs w:val="20"/>
        </w:rPr>
        <w:t xml:space="preserve">Delimitación del estudio.- </w:t>
      </w:r>
      <w:r w:rsidR="00D3790F" w:rsidRPr="00F90AD5">
        <w:rPr>
          <w:color w:val="000000"/>
          <w:sz w:val="20"/>
          <w:szCs w:val="20"/>
        </w:rPr>
        <w:t xml:space="preserve">El presente análisis se desarrolló en </w:t>
      </w:r>
      <w:smartTag w:uri="urn:schemas-microsoft-com:office:smarttags" w:element="PersonName">
        <w:smartTagPr>
          <w:attr w:name="ProductID" w:val="la Unidad T￩cnica"/>
        </w:smartTagPr>
        <w:r w:rsidR="00D3790F" w:rsidRPr="00F90AD5">
          <w:rPr>
            <w:color w:val="000000"/>
            <w:sz w:val="20"/>
            <w:szCs w:val="20"/>
          </w:rPr>
          <w:t>la Unidad Técnica</w:t>
        </w:r>
      </w:smartTag>
      <w:r w:rsidR="00D3790F" w:rsidRPr="00F90AD5">
        <w:rPr>
          <w:color w:val="000000"/>
          <w:sz w:val="20"/>
          <w:szCs w:val="20"/>
        </w:rPr>
        <w:t xml:space="preserve"> de </w:t>
      </w:r>
      <w:smartTag w:uri="urn:schemas-microsoft-com:office:smarttags" w:element="PersonName">
        <w:smartTagPr>
          <w:attr w:name="ProductID" w:val="LA JEFATURA CULTURAL"/>
        </w:smartTagPr>
        <w:r w:rsidR="00D3790F" w:rsidRPr="00F90AD5">
          <w:rPr>
            <w:color w:val="000000"/>
            <w:sz w:val="20"/>
            <w:szCs w:val="20"/>
          </w:rPr>
          <w:t>la Jefatura Cultural</w:t>
        </w:r>
      </w:smartTag>
      <w:r w:rsidR="00D3790F" w:rsidRPr="00F90AD5">
        <w:rPr>
          <w:color w:val="000000"/>
          <w:sz w:val="20"/>
          <w:szCs w:val="20"/>
        </w:rPr>
        <w:t>, que tiene a su cargo la ejecución de obras en los diferentes espacios culturales,  de las ciudades de Manta, Portoviejo y Santa Elena correspondiente al año 2006.</w:t>
      </w:r>
    </w:p>
    <w:p w:rsidR="00136149" w:rsidRPr="00F90AD5" w:rsidRDefault="00136149" w:rsidP="00D3790F">
      <w:pPr>
        <w:autoSpaceDE w:val="0"/>
        <w:autoSpaceDN w:val="0"/>
        <w:adjustRightInd w:val="0"/>
        <w:jc w:val="both"/>
        <w:rPr>
          <w:color w:val="000000"/>
          <w:sz w:val="20"/>
          <w:szCs w:val="20"/>
        </w:rPr>
      </w:pPr>
    </w:p>
    <w:p w:rsidR="00136149" w:rsidRPr="00F90AD5" w:rsidRDefault="00136149" w:rsidP="00D3790F">
      <w:pPr>
        <w:autoSpaceDE w:val="0"/>
        <w:autoSpaceDN w:val="0"/>
        <w:adjustRightInd w:val="0"/>
        <w:jc w:val="both"/>
        <w:rPr>
          <w:color w:val="000000"/>
          <w:sz w:val="20"/>
          <w:szCs w:val="20"/>
        </w:rPr>
      </w:pPr>
    </w:p>
    <w:p w:rsidR="00D3790F" w:rsidRPr="00F90AD5" w:rsidRDefault="00D3790F" w:rsidP="00D3790F">
      <w:pPr>
        <w:autoSpaceDE w:val="0"/>
        <w:autoSpaceDN w:val="0"/>
        <w:adjustRightInd w:val="0"/>
        <w:jc w:val="both"/>
        <w:rPr>
          <w:i/>
          <w:iCs/>
          <w:color w:val="000000"/>
          <w:sz w:val="20"/>
          <w:szCs w:val="20"/>
        </w:rPr>
      </w:pPr>
      <w:r w:rsidRPr="00F90AD5">
        <w:rPr>
          <w:color w:val="000000"/>
          <w:sz w:val="20"/>
          <w:szCs w:val="20"/>
        </w:rPr>
        <w:lastRenderedPageBreak/>
        <w:t xml:space="preserve">El Estado y las entidades del sector público que contraten la ejecución de obras, adquisición de bienes se sujetarán a las disposiciones de </w:t>
      </w:r>
      <w:smartTag w:uri="urn:schemas-microsoft-com:office:smarttags" w:element="PersonName">
        <w:smartTagPr>
          <w:attr w:name="ProductID" w:val="la Ley"/>
        </w:smartTagPr>
        <w:r w:rsidRPr="00F90AD5">
          <w:rPr>
            <w:color w:val="000000"/>
            <w:sz w:val="20"/>
            <w:szCs w:val="20"/>
          </w:rPr>
          <w:t>la Ley</w:t>
        </w:r>
      </w:smartTag>
      <w:r w:rsidRPr="00F90AD5">
        <w:rPr>
          <w:color w:val="000000"/>
          <w:sz w:val="20"/>
          <w:szCs w:val="20"/>
        </w:rPr>
        <w:t xml:space="preserve"> de </w:t>
      </w:r>
      <w:smartTag w:uri="urn:schemas-microsoft-com:office:smarttags" w:element="PersonName">
        <w:smartTagPr>
          <w:attr w:name="ProductID" w:val="la Contrataci￳n P￺blica"/>
        </w:smartTagPr>
        <w:r w:rsidRPr="00F90AD5">
          <w:rPr>
            <w:color w:val="000000"/>
            <w:sz w:val="20"/>
            <w:szCs w:val="20"/>
          </w:rPr>
          <w:t>la Contratación Pública</w:t>
        </w:r>
      </w:smartTag>
      <w:r w:rsidRPr="00F90AD5">
        <w:rPr>
          <w:color w:val="000000"/>
          <w:sz w:val="20"/>
          <w:szCs w:val="20"/>
        </w:rPr>
        <w:t xml:space="preserve">  y </w:t>
      </w:r>
      <w:r w:rsidR="003B0047" w:rsidRPr="00F90AD5">
        <w:rPr>
          <w:color w:val="000000"/>
          <w:sz w:val="20"/>
          <w:szCs w:val="20"/>
        </w:rPr>
        <w:t xml:space="preserve">el </w:t>
      </w:r>
      <w:r w:rsidRPr="00F90AD5">
        <w:rPr>
          <w:color w:val="000000"/>
          <w:sz w:val="20"/>
          <w:szCs w:val="20"/>
        </w:rPr>
        <w:t>Reglament</w:t>
      </w:r>
      <w:r w:rsidR="003B0047" w:rsidRPr="00F90AD5">
        <w:rPr>
          <w:color w:val="000000"/>
          <w:sz w:val="20"/>
          <w:szCs w:val="20"/>
        </w:rPr>
        <w:t>o</w:t>
      </w:r>
      <w:r w:rsidRPr="00F90AD5">
        <w:rPr>
          <w:color w:val="000000"/>
          <w:sz w:val="20"/>
          <w:szCs w:val="20"/>
        </w:rPr>
        <w:t xml:space="preserve"> de Contrataciones de la entidad</w:t>
      </w:r>
      <w:r w:rsidRPr="00F90AD5">
        <w:rPr>
          <w:i/>
          <w:iCs/>
          <w:color w:val="000000"/>
          <w:sz w:val="20"/>
          <w:szCs w:val="20"/>
        </w:rPr>
        <w:t>.</w:t>
      </w:r>
    </w:p>
    <w:p w:rsidR="00136149" w:rsidRPr="00F90AD5" w:rsidRDefault="00136149" w:rsidP="00D3790F">
      <w:pPr>
        <w:autoSpaceDE w:val="0"/>
        <w:autoSpaceDN w:val="0"/>
        <w:adjustRightInd w:val="0"/>
        <w:jc w:val="both"/>
        <w:rPr>
          <w:color w:val="000000"/>
          <w:sz w:val="20"/>
          <w:szCs w:val="20"/>
        </w:rPr>
      </w:pPr>
    </w:p>
    <w:p w:rsidR="00D3790F" w:rsidRPr="00F90AD5" w:rsidRDefault="00D3790F" w:rsidP="00D3790F">
      <w:pPr>
        <w:autoSpaceDE w:val="0"/>
        <w:autoSpaceDN w:val="0"/>
        <w:adjustRightInd w:val="0"/>
        <w:jc w:val="both"/>
        <w:rPr>
          <w:color w:val="000000"/>
          <w:sz w:val="20"/>
          <w:szCs w:val="20"/>
        </w:rPr>
      </w:pPr>
      <w:r w:rsidRPr="00F90AD5">
        <w:rPr>
          <w:color w:val="000000"/>
          <w:sz w:val="20"/>
          <w:szCs w:val="20"/>
        </w:rPr>
        <w:t>Tomando como referencia la proporción del Presupuesto General del Estado otorgado,  para iniciar los procesos contractuales, el presente análisis  comprenderá la evaluación de Concurso Privado de Precios y Selección de Ofertas ya que tuvieron mayor ocurrencia; en lo que respecta a Contratación Directa tuvo una menor incidencia y sus valores no son muy representativos por eso no fue parte del análisis; y, los Concurso Público de Ofertas y Licitación no se inicio ningún proceso contractual en el año 2006.</w:t>
      </w:r>
    </w:p>
    <w:p w:rsidR="00D3790F" w:rsidRPr="00F90AD5" w:rsidRDefault="00D3790F" w:rsidP="00D3790F">
      <w:pPr>
        <w:autoSpaceDE w:val="0"/>
        <w:autoSpaceDN w:val="0"/>
        <w:adjustRightInd w:val="0"/>
        <w:jc w:val="both"/>
        <w:rPr>
          <w:sz w:val="20"/>
          <w:szCs w:val="20"/>
        </w:rPr>
      </w:pPr>
    </w:p>
    <w:p w:rsidR="00D3790F" w:rsidRPr="00F90AD5" w:rsidRDefault="00F90AD5" w:rsidP="00D3790F">
      <w:pPr>
        <w:autoSpaceDE w:val="0"/>
        <w:autoSpaceDN w:val="0"/>
        <w:adjustRightInd w:val="0"/>
        <w:spacing w:before="150" w:after="150"/>
        <w:jc w:val="both"/>
        <w:rPr>
          <w:color w:val="000000"/>
          <w:sz w:val="20"/>
          <w:szCs w:val="20"/>
        </w:rPr>
      </w:pPr>
      <w:r>
        <w:rPr>
          <w:b/>
          <w:bCs/>
          <w:sz w:val="20"/>
          <w:szCs w:val="20"/>
        </w:rPr>
        <w:t xml:space="preserve">1.3 </w:t>
      </w:r>
      <w:r w:rsidR="00D3790F" w:rsidRPr="00F90AD5">
        <w:rPr>
          <w:b/>
          <w:bCs/>
          <w:sz w:val="20"/>
          <w:szCs w:val="20"/>
        </w:rPr>
        <w:t>Marco Teórico.-</w:t>
      </w:r>
      <w:r w:rsidR="00D3790F" w:rsidRPr="00F90AD5">
        <w:rPr>
          <w:b/>
          <w:bCs/>
          <w:color w:val="7F7F7F"/>
          <w:sz w:val="20"/>
          <w:szCs w:val="20"/>
        </w:rPr>
        <w:t xml:space="preserve"> </w:t>
      </w:r>
      <w:smartTag w:uri="urn:schemas-microsoft-com:office:smarttags" w:element="PersonName">
        <w:smartTagPr>
          <w:attr w:name="ProductID" w:val="La Sucursal Mayor"/>
        </w:smartTagPr>
        <w:r w:rsidR="00D3790F" w:rsidRPr="00F90AD5">
          <w:rPr>
            <w:color w:val="000000"/>
            <w:sz w:val="20"/>
            <w:szCs w:val="20"/>
          </w:rPr>
          <w:t>La Unidad Técnica</w:t>
        </w:r>
      </w:smartTag>
      <w:r w:rsidR="00D3790F" w:rsidRPr="00F90AD5">
        <w:rPr>
          <w:color w:val="000000"/>
          <w:sz w:val="20"/>
          <w:szCs w:val="20"/>
        </w:rPr>
        <w:t xml:space="preserve"> de </w:t>
      </w:r>
      <w:smartTag w:uri="urn:schemas-microsoft-com:office:smarttags" w:element="PersonName">
        <w:smartTagPr>
          <w:attr w:name="ProductID" w:val="LA JEFATURA CULTURAL"/>
        </w:smartTagPr>
        <w:r w:rsidR="00D3790F" w:rsidRPr="00F90AD5">
          <w:rPr>
            <w:color w:val="000000"/>
            <w:sz w:val="20"/>
            <w:szCs w:val="20"/>
          </w:rPr>
          <w:t>la Jefatura Cultural</w:t>
        </w:r>
      </w:smartTag>
      <w:r w:rsidR="00D3790F" w:rsidRPr="00F90AD5">
        <w:rPr>
          <w:color w:val="000000"/>
          <w:sz w:val="20"/>
          <w:szCs w:val="20"/>
        </w:rPr>
        <w:t xml:space="preserve"> Guayaquil tiene a su cargo la gestión de ejecución de obras, la cual tiene como responsabilidad la elaboración de las especificaciones técnicas, presupuesto referencial y cronograma de cada uno de los proyectos a realizarse en el transcurso del año. Para el desarrollo de estas actividades, dispone de recursos humanos, materiales y financieros que son otorgados por </w:t>
      </w:r>
      <w:smartTag w:uri="urn:schemas-microsoft-com:office:smarttags" w:element="PersonName">
        <w:smartTagPr>
          <w:attr w:name="ProductID" w:val="la Instituci￳n"/>
        </w:smartTagPr>
        <w:r w:rsidR="00D3790F" w:rsidRPr="00F90AD5">
          <w:rPr>
            <w:color w:val="000000"/>
            <w:sz w:val="20"/>
            <w:szCs w:val="20"/>
          </w:rPr>
          <w:t>la Institución</w:t>
        </w:r>
      </w:smartTag>
      <w:r w:rsidR="00D3790F" w:rsidRPr="00F90AD5">
        <w:rPr>
          <w:color w:val="000000"/>
          <w:sz w:val="20"/>
          <w:szCs w:val="20"/>
        </w:rPr>
        <w:t xml:space="preserve"> a </w:t>
      </w:r>
      <w:smartTag w:uri="urn:schemas-microsoft-com:office:smarttags" w:element="PersonName">
        <w:smartTagPr>
          <w:attr w:name="ProductID" w:val="la Jefatura Cultural."/>
        </w:smartTagPr>
        <w:r w:rsidR="00D3790F" w:rsidRPr="00F90AD5">
          <w:rPr>
            <w:color w:val="000000"/>
            <w:sz w:val="20"/>
            <w:szCs w:val="20"/>
          </w:rPr>
          <w:t>la Jefatura Cultural.</w:t>
        </w:r>
      </w:smartTag>
    </w:p>
    <w:p w:rsidR="00D3790F" w:rsidRPr="00F90AD5" w:rsidRDefault="00F90AD5" w:rsidP="00D3790F">
      <w:pPr>
        <w:autoSpaceDE w:val="0"/>
        <w:autoSpaceDN w:val="0"/>
        <w:adjustRightInd w:val="0"/>
        <w:jc w:val="both"/>
        <w:rPr>
          <w:sz w:val="20"/>
          <w:szCs w:val="20"/>
          <w:lang w:val="es-PE"/>
        </w:rPr>
      </w:pPr>
      <w:r>
        <w:rPr>
          <w:b/>
          <w:bCs/>
          <w:sz w:val="20"/>
          <w:szCs w:val="20"/>
          <w:lang w:val="es-PE"/>
        </w:rPr>
        <w:t xml:space="preserve">1.4 </w:t>
      </w:r>
      <w:r w:rsidR="00D3790F" w:rsidRPr="00F90AD5">
        <w:rPr>
          <w:b/>
          <w:bCs/>
          <w:sz w:val="20"/>
          <w:szCs w:val="20"/>
          <w:lang w:val="es-PE"/>
        </w:rPr>
        <w:t>Iniciación del proceso.-</w:t>
      </w:r>
      <w:r w:rsidR="00D3790F" w:rsidRPr="00F90AD5">
        <w:rPr>
          <w:sz w:val="20"/>
          <w:szCs w:val="20"/>
          <w:lang w:val="es-PE"/>
        </w:rPr>
        <w:t xml:space="preserve"> El funcionario Ordenador de Gastos, según sea el caso, y, observando lo previsto en él articulo 15 de </w:t>
      </w:r>
      <w:smartTag w:uri="urn:schemas-microsoft-com:office:smarttags" w:element="PersonName">
        <w:smartTagPr>
          <w:attr w:name="ProductID" w:val="la Ley"/>
        </w:smartTagPr>
        <w:r w:rsidR="00D3790F" w:rsidRPr="00F90AD5">
          <w:rPr>
            <w:sz w:val="20"/>
            <w:szCs w:val="20"/>
            <w:lang w:val="es-PE"/>
          </w:rPr>
          <w:t>la Ley</w:t>
        </w:r>
      </w:smartTag>
      <w:r w:rsidR="00D3790F" w:rsidRPr="00F90AD5">
        <w:rPr>
          <w:sz w:val="20"/>
          <w:szCs w:val="20"/>
          <w:lang w:val="es-PE"/>
        </w:rPr>
        <w:t xml:space="preserve"> de Contratación Pública y de conformidad con la planificación establecida y el correspondiente presupuesto referencial actualizado, resolverá iniciar él tramite de Concursos.</w:t>
      </w:r>
    </w:p>
    <w:p w:rsidR="00A97FD4" w:rsidRPr="00F90AD5" w:rsidRDefault="00A97FD4" w:rsidP="00D3790F">
      <w:pPr>
        <w:autoSpaceDE w:val="0"/>
        <w:autoSpaceDN w:val="0"/>
        <w:adjustRightInd w:val="0"/>
        <w:spacing w:line="360" w:lineRule="auto"/>
        <w:ind w:left="708"/>
        <w:rPr>
          <w:rFonts w:ascii="Arial" w:hAnsi="Arial" w:cs="Arial"/>
          <w:b/>
          <w:bCs/>
          <w:i/>
          <w:iCs/>
          <w:sz w:val="20"/>
          <w:szCs w:val="20"/>
          <w:lang w:val="es-PE"/>
        </w:rPr>
      </w:pPr>
    </w:p>
    <w:p w:rsidR="00D3790F" w:rsidRPr="00F90AD5" w:rsidRDefault="00D3790F" w:rsidP="00D3790F">
      <w:pPr>
        <w:autoSpaceDE w:val="0"/>
        <w:autoSpaceDN w:val="0"/>
        <w:adjustRightInd w:val="0"/>
        <w:ind w:left="709"/>
        <w:jc w:val="both"/>
        <w:rPr>
          <w:i/>
          <w:iCs/>
          <w:sz w:val="20"/>
          <w:szCs w:val="20"/>
          <w:lang w:val="es-PE"/>
        </w:rPr>
      </w:pPr>
      <w:r w:rsidRPr="00F90AD5">
        <w:rPr>
          <w:b/>
          <w:bCs/>
          <w:i/>
          <w:iCs/>
          <w:sz w:val="20"/>
          <w:szCs w:val="20"/>
          <w:lang w:val="es-PE"/>
        </w:rPr>
        <w:t>Disponibilidad de Fondos.-</w:t>
      </w:r>
      <w:r w:rsidRPr="00F90AD5">
        <w:rPr>
          <w:sz w:val="20"/>
          <w:szCs w:val="20"/>
          <w:lang w:val="es-PE"/>
        </w:rPr>
        <w:t xml:space="preserve"> </w:t>
      </w:r>
      <w:r w:rsidRPr="00F90AD5">
        <w:rPr>
          <w:i/>
          <w:iCs/>
          <w:sz w:val="20"/>
          <w:szCs w:val="20"/>
          <w:lang w:val="es-PE"/>
        </w:rPr>
        <w:t xml:space="preserve">El ministerio o la entidad respectiva, previamente a la convocatoria, deberá contar con el certificado del Ministerio de Economía y Finanzas o el Director  Financiero, Tesorero o Pagador, según corresponda, que acredite que existe o existirán recursos suficiente y disponibilidad de fondos, de conformidad con él articulo 58 de </w:t>
      </w:r>
      <w:smartTag w:uri="urn:schemas-microsoft-com:office:smarttags" w:element="PersonName">
        <w:smartTagPr>
          <w:attr w:name="ProductID" w:val="la Ley Org￡nica"/>
        </w:smartTagPr>
        <w:r w:rsidRPr="00F90AD5">
          <w:rPr>
            <w:i/>
            <w:iCs/>
            <w:sz w:val="20"/>
            <w:szCs w:val="20"/>
            <w:lang w:val="es-PE"/>
          </w:rPr>
          <w:t>la Ley Orgánica</w:t>
        </w:r>
      </w:smartTag>
      <w:r w:rsidRPr="00F90AD5">
        <w:rPr>
          <w:i/>
          <w:iCs/>
          <w:sz w:val="20"/>
          <w:szCs w:val="20"/>
          <w:lang w:val="es-PE"/>
        </w:rPr>
        <w:t xml:space="preserve"> de Administración Financiera y Control. </w:t>
      </w:r>
      <w:r w:rsidRPr="00F90AD5">
        <w:rPr>
          <w:b/>
          <w:bCs/>
          <w:i/>
          <w:iCs/>
          <w:sz w:val="20"/>
          <w:szCs w:val="20"/>
          <w:lang w:val="es-PE"/>
        </w:rPr>
        <w:t>(Art.15 LcPub)</w:t>
      </w:r>
    </w:p>
    <w:p w:rsidR="00D3790F" w:rsidRPr="00F90AD5" w:rsidRDefault="00D3790F" w:rsidP="00D3790F">
      <w:pPr>
        <w:autoSpaceDE w:val="0"/>
        <w:autoSpaceDN w:val="0"/>
        <w:adjustRightInd w:val="0"/>
        <w:jc w:val="both"/>
        <w:rPr>
          <w:b/>
          <w:bCs/>
          <w:sz w:val="20"/>
          <w:szCs w:val="20"/>
          <w:lang w:val="es-PE"/>
        </w:rPr>
      </w:pPr>
    </w:p>
    <w:p w:rsidR="00544CF2" w:rsidRPr="00F90AD5" w:rsidRDefault="00544CF2" w:rsidP="00D3790F">
      <w:pPr>
        <w:autoSpaceDE w:val="0"/>
        <w:autoSpaceDN w:val="0"/>
        <w:adjustRightInd w:val="0"/>
        <w:jc w:val="both"/>
        <w:rPr>
          <w:b/>
          <w:bCs/>
          <w:sz w:val="20"/>
          <w:szCs w:val="20"/>
          <w:lang w:val="es-PE"/>
        </w:rPr>
      </w:pPr>
    </w:p>
    <w:p w:rsidR="00544CF2" w:rsidRPr="00F90AD5" w:rsidRDefault="00544CF2" w:rsidP="00D3790F">
      <w:pPr>
        <w:autoSpaceDE w:val="0"/>
        <w:autoSpaceDN w:val="0"/>
        <w:adjustRightInd w:val="0"/>
        <w:jc w:val="both"/>
        <w:rPr>
          <w:b/>
          <w:bCs/>
          <w:sz w:val="20"/>
          <w:szCs w:val="20"/>
          <w:lang w:val="es-PE"/>
        </w:rPr>
      </w:pPr>
    </w:p>
    <w:p w:rsidR="00544CF2" w:rsidRPr="00F90AD5" w:rsidRDefault="00544CF2" w:rsidP="00D3790F">
      <w:pPr>
        <w:autoSpaceDE w:val="0"/>
        <w:autoSpaceDN w:val="0"/>
        <w:adjustRightInd w:val="0"/>
        <w:jc w:val="both"/>
        <w:rPr>
          <w:b/>
          <w:bCs/>
          <w:sz w:val="20"/>
          <w:szCs w:val="20"/>
          <w:lang w:val="es-PE"/>
        </w:rPr>
      </w:pPr>
    </w:p>
    <w:p w:rsidR="00544CF2" w:rsidRPr="00F90AD5" w:rsidRDefault="00544CF2" w:rsidP="00D3790F">
      <w:pPr>
        <w:autoSpaceDE w:val="0"/>
        <w:autoSpaceDN w:val="0"/>
        <w:adjustRightInd w:val="0"/>
        <w:jc w:val="both"/>
        <w:rPr>
          <w:b/>
          <w:bCs/>
          <w:sz w:val="20"/>
          <w:szCs w:val="20"/>
          <w:lang w:val="es-PE"/>
        </w:rPr>
      </w:pPr>
    </w:p>
    <w:p w:rsidR="00544CF2" w:rsidRPr="00F90AD5" w:rsidRDefault="00544CF2" w:rsidP="00D3790F">
      <w:pPr>
        <w:autoSpaceDE w:val="0"/>
        <w:autoSpaceDN w:val="0"/>
        <w:adjustRightInd w:val="0"/>
        <w:jc w:val="both"/>
        <w:rPr>
          <w:b/>
          <w:bCs/>
          <w:sz w:val="20"/>
          <w:szCs w:val="20"/>
          <w:lang w:val="es-PE"/>
        </w:rPr>
      </w:pPr>
    </w:p>
    <w:p w:rsidR="00D3790F" w:rsidRDefault="00F90AD5" w:rsidP="00D3790F">
      <w:pPr>
        <w:autoSpaceDE w:val="0"/>
        <w:autoSpaceDN w:val="0"/>
        <w:adjustRightInd w:val="0"/>
        <w:jc w:val="both"/>
        <w:rPr>
          <w:b/>
          <w:bCs/>
          <w:sz w:val="20"/>
          <w:szCs w:val="20"/>
        </w:rPr>
      </w:pPr>
      <w:r>
        <w:rPr>
          <w:b/>
          <w:bCs/>
          <w:sz w:val="20"/>
          <w:szCs w:val="20"/>
        </w:rPr>
        <w:lastRenderedPageBreak/>
        <w:t xml:space="preserve">1.5 </w:t>
      </w:r>
      <w:r w:rsidR="00D3790F" w:rsidRPr="00F90AD5">
        <w:rPr>
          <w:b/>
          <w:bCs/>
          <w:sz w:val="20"/>
          <w:szCs w:val="20"/>
        </w:rPr>
        <w:t>Garantías</w:t>
      </w:r>
    </w:p>
    <w:p w:rsidR="002C51EE" w:rsidRPr="00F90AD5" w:rsidRDefault="002C51EE"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color w:val="000000"/>
          <w:sz w:val="20"/>
          <w:szCs w:val="20"/>
        </w:rPr>
        <w:t>En   los  procedimientos precontractuales  y  en  los  contratos  que  celebre  el Estado o las entidades  del  sector  público,  los  oferentes o contratistas podrán rendir cualquiera de las siguientes garantías:</w:t>
      </w:r>
      <w:r w:rsidRPr="00F90AD5">
        <w:rPr>
          <w:sz w:val="20"/>
          <w:szCs w:val="20"/>
        </w:rPr>
        <w:t xml:space="preserve"> Garantías de seriedad de la propuesta, Garantías de fiel cumplimiento, Garantías por anticipo, Garantía Técnica para ciertos bienes, Garantía por la debida ejecución de la obra</w:t>
      </w:r>
      <w:r w:rsidR="00A30D5E" w:rsidRPr="00F90AD5">
        <w:rPr>
          <w:sz w:val="20"/>
          <w:szCs w:val="20"/>
        </w:rPr>
        <w:t>.</w:t>
      </w:r>
      <w:r w:rsidRPr="00F90AD5">
        <w:rPr>
          <w:sz w:val="20"/>
          <w:szCs w:val="20"/>
        </w:rPr>
        <w:t xml:space="preserve"> </w:t>
      </w:r>
    </w:p>
    <w:p w:rsidR="00D3790F" w:rsidRPr="00F90AD5" w:rsidRDefault="00D3790F" w:rsidP="00D3790F">
      <w:pPr>
        <w:autoSpaceDE w:val="0"/>
        <w:autoSpaceDN w:val="0"/>
        <w:adjustRightInd w:val="0"/>
        <w:jc w:val="both"/>
        <w:rPr>
          <w:sz w:val="20"/>
          <w:szCs w:val="20"/>
        </w:rPr>
      </w:pPr>
    </w:p>
    <w:p w:rsidR="00D3790F" w:rsidRDefault="00F90AD5" w:rsidP="00D3790F">
      <w:pPr>
        <w:autoSpaceDE w:val="0"/>
        <w:autoSpaceDN w:val="0"/>
        <w:adjustRightInd w:val="0"/>
        <w:jc w:val="both"/>
        <w:rPr>
          <w:b/>
          <w:bCs/>
          <w:sz w:val="20"/>
          <w:szCs w:val="20"/>
        </w:rPr>
      </w:pPr>
      <w:r w:rsidRPr="00F90AD5">
        <w:rPr>
          <w:b/>
          <w:sz w:val="20"/>
          <w:szCs w:val="20"/>
        </w:rPr>
        <w:t>1.6</w:t>
      </w:r>
      <w:r w:rsidR="00D3790F" w:rsidRPr="00F90AD5">
        <w:rPr>
          <w:sz w:val="20"/>
          <w:szCs w:val="20"/>
        </w:rPr>
        <w:t xml:space="preserve"> </w:t>
      </w:r>
      <w:r w:rsidR="00D3790F" w:rsidRPr="00F90AD5">
        <w:rPr>
          <w:b/>
          <w:bCs/>
          <w:sz w:val="20"/>
          <w:szCs w:val="20"/>
        </w:rPr>
        <w:t>Recepciones</w:t>
      </w:r>
    </w:p>
    <w:p w:rsidR="002C51EE" w:rsidRPr="00F90AD5" w:rsidRDefault="002C51EE" w:rsidP="00D3790F">
      <w:pPr>
        <w:autoSpaceDE w:val="0"/>
        <w:autoSpaceDN w:val="0"/>
        <w:adjustRightInd w:val="0"/>
        <w:jc w:val="both"/>
        <w:rPr>
          <w:b/>
          <w:bCs/>
          <w:sz w:val="20"/>
          <w:szCs w:val="20"/>
        </w:rPr>
      </w:pPr>
    </w:p>
    <w:p w:rsidR="00D3790F" w:rsidRPr="00F90AD5" w:rsidRDefault="00D3790F" w:rsidP="00D3790F">
      <w:pPr>
        <w:autoSpaceDE w:val="0"/>
        <w:autoSpaceDN w:val="0"/>
        <w:adjustRightInd w:val="0"/>
        <w:jc w:val="both"/>
        <w:rPr>
          <w:color w:val="000000"/>
          <w:sz w:val="20"/>
          <w:szCs w:val="20"/>
        </w:rPr>
      </w:pPr>
      <w:r w:rsidRPr="00F90AD5">
        <w:rPr>
          <w:color w:val="000000"/>
          <w:sz w:val="20"/>
          <w:szCs w:val="20"/>
        </w:rPr>
        <w:t>En los contratos de adquisición de  bienes  y de prestación de servicios, existirá una sola recepción, que  se  producirá  de conformidad con lo establecido en el contrato y tendrá  los  efectos  de  recepción  definitiva.  En  la fecha de esta recepción  se  devolverán  las  garantías otorgadas, a excepción de la garantía técnica prevista en el artículo 70 de esta ley.</w:t>
      </w:r>
    </w:p>
    <w:p w:rsidR="00136149" w:rsidRPr="00F90AD5" w:rsidRDefault="00A30D5E" w:rsidP="00136149">
      <w:pPr>
        <w:autoSpaceDE w:val="0"/>
        <w:autoSpaceDN w:val="0"/>
        <w:adjustRightInd w:val="0"/>
        <w:ind w:left="426" w:hanging="426"/>
        <w:jc w:val="both"/>
        <w:rPr>
          <w:bCs/>
          <w:sz w:val="20"/>
          <w:szCs w:val="20"/>
        </w:rPr>
      </w:pPr>
      <w:r w:rsidRPr="00F90AD5">
        <w:rPr>
          <w:bCs/>
          <w:sz w:val="20"/>
          <w:szCs w:val="20"/>
        </w:rPr>
        <w:t>En los contratos de ejecución de obra deberán suscribi</w:t>
      </w:r>
      <w:r w:rsidR="00136149" w:rsidRPr="00F90AD5">
        <w:rPr>
          <w:bCs/>
          <w:sz w:val="20"/>
          <w:szCs w:val="20"/>
        </w:rPr>
        <w:t>rse</w:t>
      </w:r>
    </w:p>
    <w:p w:rsidR="00D3790F" w:rsidRPr="00F90AD5" w:rsidRDefault="00A30D5E" w:rsidP="00136149">
      <w:pPr>
        <w:autoSpaceDE w:val="0"/>
        <w:autoSpaceDN w:val="0"/>
        <w:adjustRightInd w:val="0"/>
        <w:jc w:val="both"/>
        <w:rPr>
          <w:bCs/>
          <w:sz w:val="20"/>
          <w:szCs w:val="20"/>
        </w:rPr>
      </w:pPr>
      <w:r w:rsidRPr="00F90AD5">
        <w:rPr>
          <w:bCs/>
          <w:sz w:val="20"/>
          <w:szCs w:val="20"/>
        </w:rPr>
        <w:t>actas de recepción provisional y definitiva.</w:t>
      </w:r>
    </w:p>
    <w:p w:rsidR="00A30D5E" w:rsidRPr="00F90AD5" w:rsidRDefault="00A30D5E" w:rsidP="00D3790F">
      <w:pPr>
        <w:autoSpaceDE w:val="0"/>
        <w:autoSpaceDN w:val="0"/>
        <w:adjustRightInd w:val="0"/>
        <w:ind w:left="426" w:hanging="426"/>
        <w:jc w:val="both"/>
        <w:rPr>
          <w:b/>
          <w:bCs/>
          <w:sz w:val="20"/>
          <w:szCs w:val="20"/>
        </w:rPr>
      </w:pPr>
    </w:p>
    <w:p w:rsidR="00D3790F" w:rsidRDefault="00D3790F" w:rsidP="00D3790F">
      <w:pPr>
        <w:autoSpaceDE w:val="0"/>
        <w:autoSpaceDN w:val="0"/>
        <w:adjustRightInd w:val="0"/>
        <w:ind w:left="426" w:hanging="426"/>
        <w:jc w:val="both"/>
        <w:rPr>
          <w:b/>
          <w:bCs/>
        </w:rPr>
      </w:pPr>
      <w:r w:rsidRPr="00F90AD5">
        <w:rPr>
          <w:b/>
          <w:bCs/>
        </w:rPr>
        <w:t>2. Determinación y codificación de las variables de la base de datos</w:t>
      </w:r>
    </w:p>
    <w:p w:rsidR="002C51EE" w:rsidRPr="00F90AD5" w:rsidRDefault="002C51EE" w:rsidP="00D3790F">
      <w:pPr>
        <w:autoSpaceDE w:val="0"/>
        <w:autoSpaceDN w:val="0"/>
        <w:adjustRightInd w:val="0"/>
        <w:ind w:left="426" w:hanging="426"/>
        <w:jc w:val="both"/>
        <w:rPr>
          <w:b/>
          <w:bCs/>
        </w:rPr>
      </w:pPr>
    </w:p>
    <w:p w:rsidR="00D3790F" w:rsidRPr="00F90AD5" w:rsidRDefault="00D3790F" w:rsidP="00D3790F">
      <w:pPr>
        <w:autoSpaceDE w:val="0"/>
        <w:autoSpaceDN w:val="0"/>
        <w:adjustRightInd w:val="0"/>
        <w:jc w:val="both"/>
        <w:rPr>
          <w:color w:val="000000"/>
          <w:sz w:val="20"/>
          <w:szCs w:val="20"/>
        </w:rPr>
      </w:pPr>
      <w:r w:rsidRPr="00F90AD5">
        <w:rPr>
          <w:color w:val="000000"/>
          <w:sz w:val="20"/>
          <w:szCs w:val="20"/>
        </w:rPr>
        <w:t xml:space="preserve">En este capítulo se muestra la descripción de los datos, los cuales acumula toda la información acerca de los contratos suscritos en el año  2006  de </w:t>
      </w:r>
      <w:smartTag w:uri="urn:schemas-microsoft-com:office:smarttags" w:element="PersonName">
        <w:smartTagPr>
          <w:attr w:name="ProductID" w:val="LA JEFATURA CULTURAL"/>
        </w:smartTagPr>
        <w:r w:rsidRPr="00F90AD5">
          <w:rPr>
            <w:color w:val="000000"/>
            <w:sz w:val="20"/>
            <w:szCs w:val="20"/>
          </w:rPr>
          <w:t>la Jefatura Cultural</w:t>
        </w:r>
      </w:smartTag>
      <w:r w:rsidRPr="00F90AD5">
        <w:rPr>
          <w:color w:val="000000"/>
          <w:sz w:val="20"/>
          <w:szCs w:val="20"/>
        </w:rPr>
        <w:t xml:space="preserve"> Regional, además se muestra la respectiva codificación de las variables incluidas. </w:t>
      </w:r>
    </w:p>
    <w:p w:rsidR="00D3790F" w:rsidRPr="00F90AD5" w:rsidRDefault="00D3790F" w:rsidP="00D3790F">
      <w:pPr>
        <w:autoSpaceDE w:val="0"/>
        <w:autoSpaceDN w:val="0"/>
        <w:adjustRightInd w:val="0"/>
        <w:jc w:val="both"/>
        <w:rPr>
          <w:color w:val="000000"/>
          <w:sz w:val="20"/>
          <w:szCs w:val="20"/>
        </w:rPr>
      </w:pPr>
      <w:r w:rsidRPr="00F90AD5">
        <w:rPr>
          <w:color w:val="000000"/>
          <w:sz w:val="20"/>
          <w:szCs w:val="20"/>
        </w:rPr>
        <w:t>Contratista, Fiscalizador, Obras, Modalidad del Contrato, Valor Adjudicado, Tiempo de entrega de Garantías, Tiempo de suscripción del contratista, Tiempo de demora para la suscripción del contrato, Tiempos de demora en suscribirse las actas de Entrega-Recepción.</w:t>
      </w:r>
    </w:p>
    <w:p w:rsidR="00D3790F" w:rsidRPr="00F90AD5" w:rsidRDefault="00D3790F" w:rsidP="00D3790F">
      <w:pPr>
        <w:autoSpaceDE w:val="0"/>
        <w:autoSpaceDN w:val="0"/>
        <w:adjustRightInd w:val="0"/>
        <w:jc w:val="both"/>
        <w:rPr>
          <w:sz w:val="20"/>
          <w:szCs w:val="20"/>
        </w:rPr>
      </w:pPr>
    </w:p>
    <w:p w:rsidR="00D3790F" w:rsidRDefault="00D3790F" w:rsidP="00D3790F">
      <w:pPr>
        <w:autoSpaceDE w:val="0"/>
        <w:autoSpaceDN w:val="0"/>
        <w:adjustRightInd w:val="0"/>
        <w:jc w:val="both"/>
        <w:rPr>
          <w:b/>
          <w:bCs/>
        </w:rPr>
      </w:pPr>
      <w:r w:rsidRPr="00F90AD5">
        <w:rPr>
          <w:b/>
          <w:bCs/>
        </w:rPr>
        <w:t>3. Análisis Estadístico</w:t>
      </w:r>
    </w:p>
    <w:p w:rsidR="002C51EE" w:rsidRPr="00F90AD5" w:rsidRDefault="002C51EE" w:rsidP="00D3790F">
      <w:pPr>
        <w:autoSpaceDE w:val="0"/>
        <w:autoSpaceDN w:val="0"/>
        <w:adjustRightInd w:val="0"/>
        <w:jc w:val="both"/>
        <w:rPr>
          <w:b/>
          <w:bCs/>
        </w:rPr>
      </w:pPr>
    </w:p>
    <w:p w:rsidR="00D3790F" w:rsidRPr="00F90AD5" w:rsidRDefault="00D3790F" w:rsidP="00D3790F">
      <w:pPr>
        <w:autoSpaceDE w:val="0"/>
        <w:autoSpaceDN w:val="0"/>
        <w:adjustRightInd w:val="0"/>
        <w:jc w:val="both"/>
        <w:rPr>
          <w:sz w:val="20"/>
          <w:szCs w:val="20"/>
        </w:rPr>
      </w:pPr>
      <w:r w:rsidRPr="00F90AD5">
        <w:rPr>
          <w:sz w:val="20"/>
          <w:szCs w:val="20"/>
        </w:rPr>
        <w:t>En este capítulo se presenta el análisis estadístico de la información recopilada en el cuadro de datos, este análisis se ha dividido en dos partes, estas son:</w:t>
      </w:r>
    </w:p>
    <w:p w:rsidR="00D3790F" w:rsidRPr="00F90AD5" w:rsidRDefault="00D3790F" w:rsidP="00D3790F">
      <w:pPr>
        <w:autoSpaceDE w:val="0"/>
        <w:autoSpaceDN w:val="0"/>
        <w:adjustRightInd w:val="0"/>
        <w:ind w:left="397"/>
        <w:jc w:val="both"/>
        <w:rPr>
          <w:sz w:val="20"/>
          <w:szCs w:val="20"/>
          <w:u w:val="single"/>
        </w:rPr>
      </w:pPr>
    </w:p>
    <w:p w:rsidR="00D3790F" w:rsidRPr="00F90AD5" w:rsidRDefault="00D3790F" w:rsidP="00D3790F">
      <w:pPr>
        <w:autoSpaceDE w:val="0"/>
        <w:autoSpaceDN w:val="0"/>
        <w:adjustRightInd w:val="0"/>
        <w:jc w:val="both"/>
        <w:rPr>
          <w:sz w:val="20"/>
          <w:szCs w:val="20"/>
        </w:rPr>
      </w:pPr>
      <w:r w:rsidRPr="00F90AD5">
        <w:rPr>
          <w:sz w:val="20"/>
          <w:szCs w:val="20"/>
        </w:rPr>
        <w:t>Análisis Univariado: Consiste en el análisis de cada una de las variables estudiadas por separado,  de estas variables se obtuvo las respectivas tablas de frecuencias y diagrama de barras.</w:t>
      </w:r>
    </w:p>
    <w:p w:rsidR="00D3790F" w:rsidRPr="00F90AD5" w:rsidRDefault="00D3790F" w:rsidP="00D3790F">
      <w:pPr>
        <w:autoSpaceDE w:val="0"/>
        <w:autoSpaceDN w:val="0"/>
        <w:adjustRightInd w:val="0"/>
        <w:jc w:val="both"/>
        <w:rPr>
          <w:sz w:val="20"/>
          <w:szCs w:val="20"/>
        </w:rPr>
      </w:pPr>
      <w:r w:rsidRPr="00F90AD5">
        <w:rPr>
          <w:sz w:val="20"/>
          <w:szCs w:val="20"/>
        </w:rPr>
        <w:t>Análisis Multivariado: Esta parte incluye el análisis de contingencias  y pruebas de independencia para las variables más importantes.</w:t>
      </w:r>
    </w:p>
    <w:p w:rsidR="00D3790F" w:rsidRPr="00F90AD5" w:rsidRDefault="00D3790F" w:rsidP="00D3790F">
      <w:pPr>
        <w:autoSpaceDE w:val="0"/>
        <w:autoSpaceDN w:val="0"/>
        <w:adjustRightInd w:val="0"/>
        <w:jc w:val="both"/>
        <w:rPr>
          <w:b/>
          <w:bCs/>
          <w:sz w:val="20"/>
          <w:szCs w:val="20"/>
        </w:rPr>
      </w:pPr>
    </w:p>
    <w:p w:rsidR="00D3790F" w:rsidRPr="00F90AD5" w:rsidRDefault="00F90AD5" w:rsidP="00D3790F">
      <w:pPr>
        <w:autoSpaceDE w:val="0"/>
        <w:autoSpaceDN w:val="0"/>
        <w:adjustRightInd w:val="0"/>
        <w:jc w:val="both"/>
        <w:rPr>
          <w:b/>
          <w:bCs/>
          <w:sz w:val="22"/>
          <w:szCs w:val="22"/>
        </w:rPr>
      </w:pPr>
      <w:r w:rsidRPr="00F90AD5">
        <w:rPr>
          <w:b/>
          <w:bCs/>
          <w:sz w:val="22"/>
          <w:szCs w:val="22"/>
        </w:rPr>
        <w:t xml:space="preserve">3.1 </w:t>
      </w:r>
      <w:r w:rsidR="00D3790F" w:rsidRPr="00F90AD5">
        <w:rPr>
          <w:b/>
          <w:bCs/>
          <w:sz w:val="22"/>
          <w:szCs w:val="22"/>
        </w:rPr>
        <w:t>Análisis Univariado</w:t>
      </w:r>
    </w:p>
    <w:p w:rsidR="00F90AD5" w:rsidRPr="00F90AD5" w:rsidRDefault="00F90AD5" w:rsidP="00D3790F">
      <w:pPr>
        <w:autoSpaceDE w:val="0"/>
        <w:autoSpaceDN w:val="0"/>
        <w:adjustRightInd w:val="0"/>
        <w:jc w:val="both"/>
        <w:rPr>
          <w:b/>
          <w:bCs/>
          <w:sz w:val="20"/>
          <w:szCs w:val="20"/>
        </w:rPr>
      </w:pPr>
    </w:p>
    <w:p w:rsidR="00D3790F" w:rsidRDefault="00D3790F" w:rsidP="00D3790F">
      <w:pPr>
        <w:autoSpaceDE w:val="0"/>
        <w:autoSpaceDN w:val="0"/>
        <w:adjustRightInd w:val="0"/>
        <w:jc w:val="both"/>
        <w:rPr>
          <w:sz w:val="20"/>
          <w:szCs w:val="20"/>
        </w:rPr>
      </w:pPr>
      <w:r w:rsidRPr="00F90AD5">
        <w:rPr>
          <w:sz w:val="20"/>
          <w:szCs w:val="20"/>
        </w:rPr>
        <w:t>A continuación un análisis de ejemplo:</w:t>
      </w:r>
    </w:p>
    <w:p w:rsidR="002C51EE" w:rsidRPr="00F90AD5" w:rsidRDefault="002C51EE"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b/>
          <w:bCs/>
          <w:sz w:val="20"/>
          <w:szCs w:val="20"/>
        </w:rPr>
        <w:t xml:space="preserve">Obras.- </w:t>
      </w:r>
      <w:r w:rsidRPr="00F90AD5">
        <w:rPr>
          <w:sz w:val="20"/>
          <w:szCs w:val="20"/>
        </w:rPr>
        <w:t xml:space="preserve">Variable que representa la clasificación de cada obra de los contratos suscritos durante el año 2006. </w:t>
      </w:r>
    </w:p>
    <w:p w:rsidR="00D3790F" w:rsidRPr="00F90AD5" w:rsidRDefault="00D3790F" w:rsidP="00D3790F">
      <w:pPr>
        <w:autoSpaceDE w:val="0"/>
        <w:autoSpaceDN w:val="0"/>
        <w:adjustRightInd w:val="0"/>
        <w:jc w:val="both"/>
        <w:rPr>
          <w:sz w:val="20"/>
          <w:szCs w:val="20"/>
        </w:rPr>
      </w:pPr>
    </w:p>
    <w:p w:rsidR="00544CF2" w:rsidRPr="00F90AD5" w:rsidRDefault="00544CF2" w:rsidP="00D3790F">
      <w:pPr>
        <w:autoSpaceDE w:val="0"/>
        <w:autoSpaceDN w:val="0"/>
        <w:adjustRightInd w:val="0"/>
        <w:jc w:val="both"/>
        <w:rPr>
          <w:sz w:val="20"/>
          <w:szCs w:val="20"/>
        </w:rPr>
      </w:pPr>
    </w:p>
    <w:p w:rsidR="00544CF2" w:rsidRPr="00F90AD5" w:rsidRDefault="00544CF2" w:rsidP="00D3790F">
      <w:pPr>
        <w:autoSpaceDE w:val="0"/>
        <w:autoSpaceDN w:val="0"/>
        <w:adjustRightInd w:val="0"/>
        <w:jc w:val="both"/>
        <w:rPr>
          <w:sz w:val="20"/>
          <w:szCs w:val="20"/>
        </w:rPr>
      </w:pPr>
    </w:p>
    <w:p w:rsidR="00544CF2" w:rsidRPr="00F90AD5" w:rsidRDefault="00544CF2" w:rsidP="00D3790F">
      <w:pPr>
        <w:autoSpaceDE w:val="0"/>
        <w:autoSpaceDN w:val="0"/>
        <w:adjustRightInd w:val="0"/>
        <w:jc w:val="both"/>
        <w:rPr>
          <w:sz w:val="20"/>
          <w:szCs w:val="20"/>
        </w:rPr>
      </w:pPr>
    </w:p>
    <w:p w:rsidR="00D3790F" w:rsidRPr="00F90AD5" w:rsidRDefault="00544CF2" w:rsidP="00D3790F">
      <w:pPr>
        <w:autoSpaceDE w:val="0"/>
        <w:autoSpaceDN w:val="0"/>
        <w:adjustRightInd w:val="0"/>
        <w:jc w:val="center"/>
        <w:rPr>
          <w:b/>
          <w:bCs/>
          <w:sz w:val="20"/>
          <w:szCs w:val="20"/>
        </w:rPr>
      </w:pPr>
      <w:r w:rsidRPr="00F90AD5">
        <w:rPr>
          <w:b/>
          <w:bCs/>
          <w:sz w:val="20"/>
          <w:szCs w:val="20"/>
        </w:rPr>
        <w:t xml:space="preserve">             </w:t>
      </w:r>
      <w:r w:rsidR="00D3790F" w:rsidRPr="00F90AD5">
        <w:rPr>
          <w:b/>
          <w:bCs/>
          <w:sz w:val="20"/>
          <w:szCs w:val="20"/>
        </w:rPr>
        <w:t>Tabla VII</w:t>
      </w:r>
    </w:p>
    <w:p w:rsidR="00D3790F" w:rsidRDefault="0098218A" w:rsidP="00D3790F">
      <w:pPr>
        <w:autoSpaceDE w:val="0"/>
        <w:autoSpaceDN w:val="0"/>
        <w:adjustRightInd w:val="0"/>
        <w:jc w:val="center"/>
        <w:rPr>
          <w:b/>
          <w:bCs/>
          <w:sz w:val="20"/>
          <w:szCs w:val="20"/>
        </w:rPr>
      </w:pPr>
      <w:r w:rsidRPr="00F90AD5">
        <w:rPr>
          <w:bCs/>
          <w:sz w:val="20"/>
          <w:szCs w:val="20"/>
        </w:rPr>
        <w:t xml:space="preserve">                     </w:t>
      </w:r>
      <w:r w:rsidR="00D3790F" w:rsidRPr="00F90AD5">
        <w:rPr>
          <w:bCs/>
          <w:sz w:val="20"/>
          <w:szCs w:val="20"/>
        </w:rPr>
        <w:t>Tabla de Frecuencias:</w:t>
      </w:r>
      <w:r w:rsidR="00D3790F" w:rsidRPr="00F90AD5">
        <w:rPr>
          <w:b/>
          <w:bCs/>
          <w:sz w:val="20"/>
          <w:szCs w:val="20"/>
        </w:rPr>
        <w:t xml:space="preserve"> Obras</w:t>
      </w:r>
    </w:p>
    <w:p w:rsidR="008D3A6E" w:rsidRPr="00F90AD5" w:rsidRDefault="008D3A6E" w:rsidP="00D3790F">
      <w:pPr>
        <w:autoSpaceDE w:val="0"/>
        <w:autoSpaceDN w:val="0"/>
        <w:adjustRightInd w:val="0"/>
        <w:jc w:val="center"/>
        <w:rPr>
          <w:b/>
          <w:bCs/>
          <w:sz w:val="20"/>
          <w:szCs w:val="20"/>
        </w:rPr>
      </w:pPr>
    </w:p>
    <w:p w:rsidR="00D3790F" w:rsidRPr="00F90AD5" w:rsidRDefault="007118DF" w:rsidP="0098218A">
      <w:pPr>
        <w:autoSpaceDE w:val="0"/>
        <w:autoSpaceDN w:val="0"/>
        <w:adjustRightInd w:val="0"/>
        <w:rPr>
          <w:rFonts w:ascii="Arial" w:hAnsi="Arial" w:cs="Arial"/>
          <w:b/>
          <w:bCs/>
          <w:sz w:val="20"/>
          <w:szCs w:val="20"/>
        </w:rPr>
      </w:pPr>
      <w:r>
        <w:rPr>
          <w:noProof/>
          <w:sz w:val="20"/>
          <w:szCs w:val="20"/>
        </w:rPr>
        <w:drawing>
          <wp:inline distT="0" distB="0" distL="0" distR="0">
            <wp:extent cx="2438400" cy="1057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38400" cy="1057275"/>
                    </a:xfrm>
                    <a:prstGeom prst="rect">
                      <a:avLst/>
                    </a:prstGeom>
                    <a:noFill/>
                    <a:ln w="9525">
                      <a:noFill/>
                      <a:miter lim="800000"/>
                      <a:headEnd/>
                      <a:tailEnd/>
                    </a:ln>
                  </pic:spPr>
                </pic:pic>
              </a:graphicData>
            </a:graphic>
          </wp:inline>
        </w:drawing>
      </w:r>
    </w:p>
    <w:p w:rsidR="00D3790F" w:rsidRPr="00F90AD5" w:rsidRDefault="00544CF2" w:rsidP="0098218A">
      <w:pPr>
        <w:autoSpaceDE w:val="0"/>
        <w:autoSpaceDN w:val="0"/>
        <w:adjustRightInd w:val="0"/>
        <w:rPr>
          <w:sz w:val="20"/>
          <w:szCs w:val="20"/>
        </w:rPr>
      </w:pPr>
      <w:r w:rsidRPr="00F90AD5">
        <w:rPr>
          <w:rFonts w:ascii="Arial" w:hAnsi="Arial" w:cs="Arial"/>
          <w:b/>
          <w:sz w:val="20"/>
          <w:szCs w:val="20"/>
        </w:rPr>
        <w:t xml:space="preserve">   </w:t>
      </w:r>
      <w:r w:rsidR="0098218A" w:rsidRPr="00F90AD5">
        <w:rPr>
          <w:rFonts w:ascii="Arial" w:hAnsi="Arial" w:cs="Arial"/>
          <w:b/>
          <w:sz w:val="20"/>
          <w:szCs w:val="20"/>
        </w:rPr>
        <w:t xml:space="preserve">     </w:t>
      </w:r>
      <w:r w:rsidRPr="00F90AD5">
        <w:rPr>
          <w:rFonts w:ascii="Arial" w:hAnsi="Arial" w:cs="Arial"/>
          <w:b/>
          <w:sz w:val="20"/>
          <w:szCs w:val="20"/>
        </w:rPr>
        <w:t xml:space="preserve"> </w:t>
      </w:r>
      <w:r w:rsidR="00D3790F" w:rsidRPr="00F90AD5">
        <w:rPr>
          <w:b/>
          <w:bCs/>
          <w:sz w:val="20"/>
          <w:szCs w:val="20"/>
        </w:rPr>
        <w:t>Fuente:</w:t>
      </w:r>
      <w:r w:rsidR="00D3790F" w:rsidRPr="00F90AD5">
        <w:rPr>
          <w:sz w:val="20"/>
          <w:szCs w:val="20"/>
        </w:rPr>
        <w:t xml:space="preserve"> Jefatura Cultural Regional</w:t>
      </w:r>
    </w:p>
    <w:p w:rsidR="00D3790F" w:rsidRPr="00F90AD5" w:rsidRDefault="0098218A" w:rsidP="00544CF2">
      <w:pPr>
        <w:autoSpaceDE w:val="0"/>
        <w:autoSpaceDN w:val="0"/>
        <w:adjustRightInd w:val="0"/>
        <w:jc w:val="center"/>
        <w:rPr>
          <w:sz w:val="20"/>
          <w:szCs w:val="20"/>
        </w:rPr>
      </w:pPr>
      <w:r w:rsidRPr="00F90AD5">
        <w:rPr>
          <w:b/>
          <w:bCs/>
          <w:sz w:val="20"/>
          <w:szCs w:val="20"/>
        </w:rPr>
        <w:t xml:space="preserve"> </w:t>
      </w:r>
      <w:r w:rsidR="00544CF2" w:rsidRPr="00F90AD5">
        <w:rPr>
          <w:b/>
          <w:bCs/>
          <w:sz w:val="20"/>
          <w:szCs w:val="20"/>
        </w:rPr>
        <w:t xml:space="preserve"> </w:t>
      </w:r>
      <w:r w:rsidR="00D3790F" w:rsidRPr="00F90AD5">
        <w:rPr>
          <w:b/>
          <w:bCs/>
          <w:sz w:val="20"/>
          <w:szCs w:val="20"/>
        </w:rPr>
        <w:t>Elaboración:</w:t>
      </w:r>
      <w:r w:rsidR="00D3790F" w:rsidRPr="00F90AD5">
        <w:rPr>
          <w:sz w:val="20"/>
          <w:szCs w:val="20"/>
        </w:rPr>
        <w:t xml:space="preserve"> Pamela Hidalgo</w:t>
      </w:r>
    </w:p>
    <w:p w:rsidR="00D3790F" w:rsidRDefault="00D3790F" w:rsidP="00D3790F">
      <w:pPr>
        <w:autoSpaceDE w:val="0"/>
        <w:autoSpaceDN w:val="0"/>
        <w:adjustRightInd w:val="0"/>
        <w:ind w:left="684" w:right="12"/>
        <w:jc w:val="both"/>
        <w:rPr>
          <w:sz w:val="20"/>
          <w:szCs w:val="20"/>
        </w:rPr>
      </w:pPr>
    </w:p>
    <w:p w:rsidR="008D3A6E" w:rsidRPr="00F90AD5" w:rsidRDefault="008D3A6E" w:rsidP="00D3790F">
      <w:pPr>
        <w:autoSpaceDE w:val="0"/>
        <w:autoSpaceDN w:val="0"/>
        <w:adjustRightInd w:val="0"/>
        <w:ind w:left="684" w:right="12"/>
        <w:jc w:val="both"/>
        <w:rPr>
          <w:sz w:val="20"/>
          <w:szCs w:val="20"/>
        </w:rPr>
      </w:pPr>
    </w:p>
    <w:p w:rsidR="00A97FD4" w:rsidRPr="00F90AD5" w:rsidRDefault="00A97FD4" w:rsidP="00D3790F">
      <w:pPr>
        <w:autoSpaceDE w:val="0"/>
        <w:autoSpaceDN w:val="0"/>
        <w:adjustRightInd w:val="0"/>
        <w:jc w:val="center"/>
        <w:rPr>
          <w:b/>
          <w:bCs/>
          <w:sz w:val="20"/>
          <w:szCs w:val="20"/>
        </w:rPr>
      </w:pPr>
    </w:p>
    <w:p w:rsidR="00D3790F" w:rsidRPr="00F90AD5" w:rsidRDefault="0098218A" w:rsidP="00D3790F">
      <w:pPr>
        <w:autoSpaceDE w:val="0"/>
        <w:autoSpaceDN w:val="0"/>
        <w:adjustRightInd w:val="0"/>
        <w:jc w:val="center"/>
        <w:rPr>
          <w:b/>
          <w:bCs/>
          <w:sz w:val="20"/>
          <w:szCs w:val="20"/>
        </w:rPr>
      </w:pPr>
      <w:r w:rsidRPr="00F90AD5">
        <w:rPr>
          <w:b/>
          <w:bCs/>
          <w:sz w:val="20"/>
          <w:szCs w:val="20"/>
        </w:rPr>
        <w:t xml:space="preserve">    </w:t>
      </w:r>
      <w:r w:rsidR="00D3790F" w:rsidRPr="00F90AD5">
        <w:rPr>
          <w:b/>
          <w:bCs/>
          <w:sz w:val="20"/>
          <w:szCs w:val="20"/>
        </w:rPr>
        <w:t>Gráfico 3.3</w:t>
      </w:r>
    </w:p>
    <w:p w:rsidR="00D3790F" w:rsidRDefault="0098218A" w:rsidP="00D3790F">
      <w:pPr>
        <w:autoSpaceDE w:val="0"/>
        <w:autoSpaceDN w:val="0"/>
        <w:adjustRightInd w:val="0"/>
        <w:jc w:val="center"/>
        <w:rPr>
          <w:b/>
          <w:bCs/>
          <w:sz w:val="20"/>
          <w:szCs w:val="20"/>
        </w:rPr>
      </w:pPr>
      <w:r w:rsidRPr="00F90AD5">
        <w:rPr>
          <w:b/>
          <w:bCs/>
          <w:sz w:val="20"/>
          <w:szCs w:val="20"/>
        </w:rPr>
        <w:t xml:space="preserve">       </w:t>
      </w:r>
      <w:r w:rsidR="00D3790F" w:rsidRPr="00F90AD5">
        <w:rPr>
          <w:bCs/>
          <w:sz w:val="20"/>
          <w:szCs w:val="20"/>
        </w:rPr>
        <w:t>Diagrama de Barras:</w:t>
      </w:r>
      <w:r w:rsidR="00D3790F" w:rsidRPr="00F90AD5">
        <w:rPr>
          <w:b/>
          <w:bCs/>
          <w:sz w:val="20"/>
          <w:szCs w:val="20"/>
        </w:rPr>
        <w:t xml:space="preserve"> Obras</w:t>
      </w:r>
    </w:p>
    <w:p w:rsidR="008D3A6E" w:rsidRPr="00F90AD5" w:rsidRDefault="008D3A6E" w:rsidP="00D3790F">
      <w:pPr>
        <w:autoSpaceDE w:val="0"/>
        <w:autoSpaceDN w:val="0"/>
        <w:adjustRightInd w:val="0"/>
        <w:jc w:val="center"/>
        <w:rPr>
          <w:b/>
          <w:bCs/>
          <w:sz w:val="20"/>
          <w:szCs w:val="20"/>
        </w:rPr>
      </w:pPr>
    </w:p>
    <w:p w:rsidR="00D3790F" w:rsidRPr="00F90AD5" w:rsidRDefault="007118DF" w:rsidP="0098218A">
      <w:pPr>
        <w:autoSpaceDE w:val="0"/>
        <w:autoSpaceDN w:val="0"/>
        <w:adjustRightInd w:val="0"/>
        <w:ind w:right="12"/>
        <w:rPr>
          <w:sz w:val="20"/>
          <w:szCs w:val="20"/>
          <w:lang w:val="en-US"/>
        </w:rPr>
      </w:pPr>
      <w:r>
        <w:rPr>
          <w:noProof/>
          <w:sz w:val="20"/>
          <w:szCs w:val="20"/>
        </w:rPr>
        <w:drawing>
          <wp:inline distT="0" distB="0" distL="0" distR="0">
            <wp:extent cx="2438400" cy="1333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38400" cy="1333500"/>
                    </a:xfrm>
                    <a:prstGeom prst="rect">
                      <a:avLst/>
                    </a:prstGeom>
                    <a:noFill/>
                    <a:ln w="9525">
                      <a:noFill/>
                      <a:miter lim="800000"/>
                      <a:headEnd/>
                      <a:tailEnd/>
                    </a:ln>
                  </pic:spPr>
                </pic:pic>
              </a:graphicData>
            </a:graphic>
          </wp:inline>
        </w:drawing>
      </w:r>
    </w:p>
    <w:p w:rsidR="00D3790F" w:rsidRPr="00F90AD5" w:rsidRDefault="00544CF2" w:rsidP="00D3790F">
      <w:pPr>
        <w:autoSpaceDE w:val="0"/>
        <w:autoSpaceDN w:val="0"/>
        <w:adjustRightInd w:val="0"/>
        <w:jc w:val="center"/>
        <w:rPr>
          <w:sz w:val="20"/>
          <w:szCs w:val="20"/>
        </w:rPr>
      </w:pPr>
      <w:r w:rsidRPr="00F90AD5">
        <w:rPr>
          <w:b/>
          <w:bCs/>
          <w:sz w:val="20"/>
          <w:szCs w:val="20"/>
        </w:rPr>
        <w:t xml:space="preserve">  </w:t>
      </w:r>
      <w:r w:rsidR="00D3790F" w:rsidRPr="00F90AD5">
        <w:rPr>
          <w:b/>
          <w:bCs/>
          <w:sz w:val="20"/>
          <w:szCs w:val="20"/>
        </w:rPr>
        <w:t>Fuente:</w:t>
      </w:r>
      <w:r w:rsidR="00D3790F" w:rsidRPr="00F90AD5">
        <w:rPr>
          <w:sz w:val="20"/>
          <w:szCs w:val="20"/>
        </w:rPr>
        <w:t xml:space="preserve"> Jefatura Cultural Regional </w:t>
      </w:r>
    </w:p>
    <w:p w:rsidR="00D3790F" w:rsidRPr="00F90AD5" w:rsidRDefault="00D3790F" w:rsidP="00D3790F">
      <w:pPr>
        <w:autoSpaceDE w:val="0"/>
        <w:autoSpaceDN w:val="0"/>
        <w:adjustRightInd w:val="0"/>
        <w:jc w:val="center"/>
        <w:rPr>
          <w:sz w:val="20"/>
          <w:szCs w:val="20"/>
        </w:rPr>
      </w:pPr>
      <w:r w:rsidRPr="00F90AD5">
        <w:rPr>
          <w:b/>
          <w:bCs/>
          <w:sz w:val="20"/>
          <w:szCs w:val="20"/>
        </w:rPr>
        <w:t>Elaboración:</w:t>
      </w:r>
      <w:r w:rsidRPr="00F90AD5">
        <w:rPr>
          <w:sz w:val="20"/>
          <w:szCs w:val="20"/>
        </w:rPr>
        <w:t xml:space="preserve"> Pamela Hidalgo</w:t>
      </w:r>
    </w:p>
    <w:p w:rsidR="00D3790F" w:rsidRPr="00F90AD5" w:rsidRDefault="00D3790F" w:rsidP="00D3790F">
      <w:pPr>
        <w:autoSpaceDE w:val="0"/>
        <w:autoSpaceDN w:val="0"/>
        <w:adjustRightInd w:val="0"/>
        <w:ind w:left="684" w:right="12"/>
        <w:jc w:val="both"/>
        <w:rPr>
          <w:sz w:val="20"/>
          <w:szCs w:val="20"/>
        </w:rPr>
      </w:pPr>
    </w:p>
    <w:p w:rsidR="00D3790F" w:rsidRPr="00F90AD5" w:rsidRDefault="00D3790F" w:rsidP="00D3790F">
      <w:pPr>
        <w:autoSpaceDE w:val="0"/>
        <w:autoSpaceDN w:val="0"/>
        <w:adjustRightInd w:val="0"/>
        <w:ind w:left="684" w:right="12"/>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El 23.5% de los contratos corresponden a la clasificación de Ejecución de obras, el 47.1% de los contratos corresponden a la clasificación de Provisión e instalación de sistemas, el 11.8% de los contratos corresponden a la clasificación de Provisión e instalación de equipos, el 17.6% de los contratos corresponden a la clasificación de Provisión e instalación de mobiliarios, véase Tabla VII y Gráfico 3.3.</w:t>
      </w:r>
    </w:p>
    <w:p w:rsidR="00D3790F" w:rsidRPr="00F90AD5" w:rsidRDefault="00D3790F" w:rsidP="00D3790F">
      <w:pPr>
        <w:autoSpaceDE w:val="0"/>
        <w:autoSpaceDN w:val="0"/>
        <w:adjustRightInd w:val="0"/>
        <w:jc w:val="both"/>
        <w:rPr>
          <w:b/>
          <w:bCs/>
          <w:color w:val="000000"/>
          <w:sz w:val="20"/>
          <w:szCs w:val="20"/>
        </w:rPr>
      </w:pPr>
    </w:p>
    <w:p w:rsidR="00D3790F" w:rsidRDefault="00F90AD5" w:rsidP="00D3790F">
      <w:pPr>
        <w:autoSpaceDE w:val="0"/>
        <w:autoSpaceDN w:val="0"/>
        <w:adjustRightInd w:val="0"/>
        <w:jc w:val="both"/>
        <w:rPr>
          <w:b/>
          <w:bCs/>
          <w:color w:val="000000"/>
          <w:sz w:val="22"/>
          <w:szCs w:val="22"/>
        </w:rPr>
      </w:pPr>
      <w:r w:rsidRPr="00F90AD5">
        <w:rPr>
          <w:b/>
          <w:bCs/>
          <w:color w:val="000000"/>
          <w:sz w:val="22"/>
          <w:szCs w:val="22"/>
        </w:rPr>
        <w:t xml:space="preserve">3.2 </w:t>
      </w:r>
      <w:r w:rsidR="00D3790F" w:rsidRPr="00F90AD5">
        <w:rPr>
          <w:b/>
          <w:bCs/>
          <w:color w:val="000000"/>
          <w:sz w:val="22"/>
          <w:szCs w:val="22"/>
        </w:rPr>
        <w:t>Análisis Multivariado</w:t>
      </w:r>
    </w:p>
    <w:p w:rsidR="001154B2" w:rsidRPr="00F90AD5" w:rsidRDefault="001154B2" w:rsidP="00D3790F">
      <w:pPr>
        <w:autoSpaceDE w:val="0"/>
        <w:autoSpaceDN w:val="0"/>
        <w:adjustRightInd w:val="0"/>
        <w:jc w:val="both"/>
        <w:rPr>
          <w:b/>
          <w:bCs/>
          <w:color w:val="000000"/>
          <w:sz w:val="22"/>
          <w:szCs w:val="22"/>
        </w:rPr>
      </w:pPr>
    </w:p>
    <w:p w:rsidR="00D3790F" w:rsidRPr="00F90AD5" w:rsidRDefault="00D3790F" w:rsidP="00D3790F">
      <w:pPr>
        <w:autoSpaceDE w:val="0"/>
        <w:autoSpaceDN w:val="0"/>
        <w:adjustRightInd w:val="0"/>
        <w:jc w:val="both"/>
        <w:rPr>
          <w:sz w:val="20"/>
          <w:szCs w:val="20"/>
        </w:rPr>
      </w:pPr>
      <w:r w:rsidRPr="00F90AD5">
        <w:rPr>
          <w:sz w:val="20"/>
          <w:szCs w:val="20"/>
        </w:rPr>
        <w:t xml:space="preserve">Se realizará el análisis estadístico multivariado a las variables de los 17 y 14 contratos suscritos durante el año 2006 Y 2005 respectivamente. </w:t>
      </w:r>
    </w:p>
    <w:p w:rsidR="00D3790F" w:rsidRPr="00F90AD5" w:rsidRDefault="00D3790F"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t>Se presenta un ejemplo del resultado del análisis Multivariado</w:t>
      </w:r>
      <w:r w:rsidR="00544CF2" w:rsidRPr="00F90AD5">
        <w:rPr>
          <w:sz w:val="20"/>
          <w:szCs w:val="20"/>
        </w:rPr>
        <w:t>.</w:t>
      </w:r>
    </w:p>
    <w:p w:rsidR="00544CF2" w:rsidRPr="00F90AD5" w:rsidRDefault="00544CF2" w:rsidP="00D3790F">
      <w:pPr>
        <w:autoSpaceDE w:val="0"/>
        <w:autoSpaceDN w:val="0"/>
        <w:adjustRightInd w:val="0"/>
        <w:jc w:val="both"/>
        <w:rPr>
          <w:sz w:val="20"/>
          <w:szCs w:val="20"/>
        </w:rPr>
      </w:pPr>
    </w:p>
    <w:p w:rsidR="00D3790F" w:rsidRPr="00F90AD5" w:rsidRDefault="001154B2" w:rsidP="00D3790F">
      <w:pPr>
        <w:autoSpaceDE w:val="0"/>
        <w:autoSpaceDN w:val="0"/>
        <w:adjustRightInd w:val="0"/>
        <w:jc w:val="both"/>
        <w:rPr>
          <w:b/>
          <w:bCs/>
          <w:sz w:val="22"/>
          <w:szCs w:val="22"/>
        </w:rPr>
      </w:pPr>
      <w:r>
        <w:rPr>
          <w:b/>
          <w:bCs/>
          <w:sz w:val="22"/>
          <w:szCs w:val="22"/>
        </w:rPr>
        <w:t>3.2.1</w:t>
      </w:r>
      <w:r w:rsidR="00D3790F" w:rsidRPr="00F90AD5">
        <w:rPr>
          <w:b/>
          <w:bCs/>
          <w:sz w:val="22"/>
          <w:szCs w:val="22"/>
        </w:rPr>
        <w:t>Análisis de independencia variables Tiempos de demora de suscripción del contrato y el tipo de contratista para el año 2006</w:t>
      </w:r>
    </w:p>
    <w:p w:rsidR="00D3790F" w:rsidRPr="00F90AD5" w:rsidRDefault="00D3790F" w:rsidP="00D3790F">
      <w:pPr>
        <w:autoSpaceDE w:val="0"/>
        <w:autoSpaceDN w:val="0"/>
        <w:adjustRightInd w:val="0"/>
        <w:jc w:val="both"/>
        <w:rPr>
          <w:b/>
          <w:bCs/>
          <w:sz w:val="20"/>
          <w:szCs w:val="20"/>
        </w:rPr>
      </w:pPr>
    </w:p>
    <w:p w:rsidR="00D3790F" w:rsidRPr="00F90AD5" w:rsidRDefault="00D3790F" w:rsidP="00D3790F">
      <w:pPr>
        <w:autoSpaceDE w:val="0"/>
        <w:autoSpaceDN w:val="0"/>
        <w:adjustRightInd w:val="0"/>
        <w:jc w:val="both"/>
        <w:rPr>
          <w:sz w:val="20"/>
          <w:szCs w:val="20"/>
        </w:rPr>
      </w:pPr>
      <w:r w:rsidRPr="00F90AD5">
        <w:rPr>
          <w:sz w:val="20"/>
          <w:szCs w:val="20"/>
        </w:rPr>
        <w:lastRenderedPageBreak/>
        <w:t xml:space="preserve">Región de rechazo.- El número de  grados   de libertad es v= (3-1)(4-1)= 6 y si se escoge un nivel de significación de 0.05, se ve en la tabla de la ley que  </w:t>
      </w:r>
      <w:r w:rsidRPr="00F90AD5">
        <w:rPr>
          <w:rFonts w:ascii="Arial" w:hAnsi="Arial" w:cs="Arial"/>
          <w:sz w:val="20"/>
          <w:szCs w:val="20"/>
        </w:rPr>
        <w:object w:dxaOrig="1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75pt" o:ole="">
            <v:imagedata r:id="rId9" o:title=""/>
          </v:shape>
          <o:OLEObject Type="Embed" ProgID="Equation.3" ShapeID="_x0000_i1025" DrawAspect="Content" ObjectID="_1338017697" r:id="rId10"/>
        </w:object>
      </w:r>
      <w:r w:rsidRPr="00F90AD5">
        <w:rPr>
          <w:sz w:val="20"/>
          <w:szCs w:val="20"/>
        </w:rPr>
        <w:t xml:space="preserve">. Como </w:t>
      </w:r>
      <w:r w:rsidRPr="00F90AD5">
        <w:rPr>
          <w:rFonts w:ascii="Arial" w:hAnsi="Arial" w:cs="Arial"/>
          <w:sz w:val="20"/>
          <w:szCs w:val="20"/>
        </w:rPr>
        <w:object w:dxaOrig="1140" w:dyaOrig="380">
          <v:shape id="_x0000_i1026" type="#_x0000_t75" style="width:57pt;height:18.75pt" o:ole="">
            <v:imagedata r:id="rId11" o:title=""/>
          </v:shape>
          <o:OLEObject Type="Embed" ProgID="Equation.3" ShapeID="_x0000_i1026" DrawAspect="Content" ObjectID="_1338017698" r:id="rId12"/>
        </w:object>
      </w:r>
      <w:r w:rsidRPr="00F90AD5">
        <w:rPr>
          <w:sz w:val="20"/>
          <w:szCs w:val="20"/>
        </w:rPr>
        <w:t xml:space="preserve">, se acepta la hipótesis nula. Entonces se concluye que no hay  dependencia entre el tiempo de demora de suscripción del contrato y el tipo de contratista. </w:t>
      </w:r>
    </w:p>
    <w:p w:rsidR="00D3790F" w:rsidRPr="00F90AD5" w:rsidRDefault="00D3790F" w:rsidP="00D3790F">
      <w:pPr>
        <w:autoSpaceDE w:val="0"/>
        <w:autoSpaceDN w:val="0"/>
        <w:adjustRightInd w:val="0"/>
        <w:jc w:val="both"/>
        <w:rPr>
          <w:sz w:val="20"/>
          <w:szCs w:val="20"/>
        </w:rPr>
      </w:pPr>
    </w:p>
    <w:p w:rsidR="00D3790F" w:rsidRDefault="00D3790F" w:rsidP="00B80267">
      <w:pPr>
        <w:autoSpaceDE w:val="0"/>
        <w:autoSpaceDN w:val="0"/>
        <w:adjustRightInd w:val="0"/>
        <w:rPr>
          <w:rFonts w:ascii="Arial" w:hAnsi="Arial" w:cs="Arial"/>
          <w:b/>
          <w:bCs/>
          <w:sz w:val="20"/>
          <w:szCs w:val="20"/>
        </w:rPr>
      </w:pPr>
      <w:r w:rsidRPr="00F90AD5">
        <w:rPr>
          <w:b/>
          <w:bCs/>
          <w:sz w:val="20"/>
          <w:szCs w:val="20"/>
          <w:lang w:val="es-EC"/>
        </w:rPr>
        <w:t>4. E</w:t>
      </w:r>
      <w:r w:rsidRPr="00F90AD5">
        <w:rPr>
          <w:b/>
          <w:bCs/>
          <w:sz w:val="20"/>
          <w:szCs w:val="20"/>
        </w:rPr>
        <w:t>valuación del control interno y Análisis del cumplimiento de las actas</w:t>
      </w:r>
      <w:r w:rsidRPr="00F90AD5">
        <w:rPr>
          <w:rFonts w:ascii="Arial" w:hAnsi="Arial" w:cs="Arial"/>
          <w:b/>
          <w:bCs/>
          <w:sz w:val="20"/>
          <w:szCs w:val="20"/>
        </w:rPr>
        <w:t>.</w:t>
      </w:r>
    </w:p>
    <w:p w:rsidR="00B80267" w:rsidRPr="00F90AD5" w:rsidRDefault="00B80267" w:rsidP="00B80267">
      <w:pPr>
        <w:autoSpaceDE w:val="0"/>
        <w:autoSpaceDN w:val="0"/>
        <w:adjustRightInd w:val="0"/>
        <w:rPr>
          <w:rFonts w:ascii="Arial" w:hAnsi="Arial" w:cs="Arial"/>
          <w:b/>
          <w:bCs/>
          <w:sz w:val="20"/>
          <w:szCs w:val="20"/>
        </w:rPr>
      </w:pPr>
    </w:p>
    <w:p w:rsidR="00D3790F" w:rsidRPr="00F90AD5" w:rsidRDefault="00D3790F" w:rsidP="00544CF2">
      <w:pPr>
        <w:tabs>
          <w:tab w:val="left" w:pos="0"/>
          <w:tab w:val="left" w:pos="2160"/>
        </w:tabs>
        <w:autoSpaceDE w:val="0"/>
        <w:autoSpaceDN w:val="0"/>
        <w:adjustRightInd w:val="0"/>
        <w:jc w:val="both"/>
        <w:rPr>
          <w:sz w:val="20"/>
          <w:szCs w:val="20"/>
          <w:lang w:val="es-EC"/>
        </w:rPr>
      </w:pPr>
      <w:r w:rsidRPr="00F90AD5">
        <w:rPr>
          <w:sz w:val="20"/>
          <w:szCs w:val="20"/>
          <w:lang w:val="es-EC"/>
        </w:rPr>
        <w:t>Al evaluar los componentes del control interno se encontró lo siguiente:</w:t>
      </w:r>
    </w:p>
    <w:p w:rsidR="00544CF2" w:rsidRPr="00F90AD5" w:rsidRDefault="00544CF2" w:rsidP="00544CF2">
      <w:pPr>
        <w:tabs>
          <w:tab w:val="left" w:pos="0"/>
          <w:tab w:val="left" w:pos="2160"/>
        </w:tabs>
        <w:autoSpaceDE w:val="0"/>
        <w:autoSpaceDN w:val="0"/>
        <w:adjustRightInd w:val="0"/>
        <w:jc w:val="both"/>
        <w:rPr>
          <w:sz w:val="20"/>
          <w:szCs w:val="20"/>
          <w:lang w:val="es-EC"/>
        </w:rPr>
      </w:pPr>
    </w:p>
    <w:p w:rsidR="00D3790F" w:rsidRPr="00F90AD5" w:rsidRDefault="00D3790F" w:rsidP="00D3790F">
      <w:pPr>
        <w:numPr>
          <w:ilvl w:val="0"/>
          <w:numId w:val="1"/>
        </w:numPr>
        <w:tabs>
          <w:tab w:val="left" w:pos="720"/>
        </w:tabs>
        <w:autoSpaceDE w:val="0"/>
        <w:autoSpaceDN w:val="0"/>
        <w:adjustRightInd w:val="0"/>
        <w:ind w:left="720" w:hanging="360"/>
        <w:jc w:val="both"/>
        <w:rPr>
          <w:color w:val="000000"/>
          <w:sz w:val="20"/>
          <w:szCs w:val="20"/>
        </w:rPr>
      </w:pPr>
      <w:r w:rsidRPr="00F90AD5">
        <w:rPr>
          <w:color w:val="000000"/>
          <w:sz w:val="20"/>
          <w:szCs w:val="20"/>
        </w:rPr>
        <w:t>Con respecto a la elaboración de c</w:t>
      </w:r>
      <w:r w:rsidR="005A6747" w:rsidRPr="00F90AD5">
        <w:rPr>
          <w:color w:val="000000"/>
          <w:sz w:val="20"/>
          <w:szCs w:val="20"/>
        </w:rPr>
        <w:t>ontratos el área legal no só</w:t>
      </w:r>
      <w:r w:rsidRPr="00F90AD5">
        <w:rPr>
          <w:color w:val="000000"/>
          <w:sz w:val="20"/>
          <w:szCs w:val="20"/>
        </w:rPr>
        <w:t xml:space="preserve">lo se encarga de la preparación de los mismos, tiene a cargo otros temas legales de </w:t>
      </w:r>
      <w:smartTag w:uri="urn:schemas-microsoft-com:office:smarttags" w:element="PersonName">
        <w:smartTagPr>
          <w:attr w:name="ProductID" w:val="la Instituci￳n"/>
        </w:smartTagPr>
        <w:r w:rsidRPr="00F90AD5">
          <w:rPr>
            <w:color w:val="000000"/>
            <w:sz w:val="20"/>
            <w:szCs w:val="20"/>
          </w:rPr>
          <w:t>la Institución</w:t>
        </w:r>
      </w:smartTag>
      <w:r w:rsidRPr="00F90AD5">
        <w:rPr>
          <w:color w:val="000000"/>
          <w:sz w:val="20"/>
          <w:szCs w:val="20"/>
        </w:rPr>
        <w:t xml:space="preserve">, independientes de </w:t>
      </w:r>
      <w:smartTag w:uri="urn:schemas-microsoft-com:office:smarttags" w:element="PersonName">
        <w:smartTagPr>
          <w:attr w:name="ProductID" w:val="la Jefatura Cultural."/>
        </w:smartTagPr>
        <w:r w:rsidRPr="00F90AD5">
          <w:rPr>
            <w:color w:val="000000"/>
            <w:sz w:val="20"/>
            <w:szCs w:val="20"/>
          </w:rPr>
          <w:t>la Jefatura Cultural.</w:t>
        </w:r>
      </w:smartTag>
    </w:p>
    <w:p w:rsidR="00D3790F" w:rsidRPr="00F90AD5" w:rsidRDefault="00D3790F" w:rsidP="00D3790F">
      <w:pPr>
        <w:autoSpaceDE w:val="0"/>
        <w:autoSpaceDN w:val="0"/>
        <w:adjustRightInd w:val="0"/>
        <w:ind w:left="360"/>
        <w:jc w:val="both"/>
        <w:rPr>
          <w:color w:val="000000"/>
          <w:sz w:val="20"/>
          <w:szCs w:val="20"/>
        </w:rPr>
      </w:pPr>
    </w:p>
    <w:p w:rsidR="00D3790F" w:rsidRPr="00F90AD5" w:rsidRDefault="00D3790F" w:rsidP="00D3790F">
      <w:pPr>
        <w:numPr>
          <w:ilvl w:val="0"/>
          <w:numId w:val="2"/>
        </w:numPr>
        <w:tabs>
          <w:tab w:val="left" w:pos="720"/>
        </w:tabs>
        <w:autoSpaceDE w:val="0"/>
        <w:autoSpaceDN w:val="0"/>
        <w:adjustRightInd w:val="0"/>
        <w:ind w:left="720" w:hanging="360"/>
        <w:jc w:val="both"/>
        <w:rPr>
          <w:color w:val="000000"/>
          <w:sz w:val="20"/>
          <w:szCs w:val="20"/>
        </w:rPr>
      </w:pPr>
      <w:r w:rsidRPr="00F90AD5">
        <w:rPr>
          <w:color w:val="000000"/>
          <w:sz w:val="20"/>
          <w:szCs w:val="20"/>
        </w:rPr>
        <w:t>No se cumple con el tiempo establecido en la actividad de la elaboración de contratos. En el Reglamento interno se estipula que será de diez días.</w:t>
      </w:r>
    </w:p>
    <w:p w:rsidR="00D3790F" w:rsidRPr="00F90AD5" w:rsidRDefault="00D3790F" w:rsidP="00D3790F">
      <w:pPr>
        <w:autoSpaceDE w:val="0"/>
        <w:autoSpaceDN w:val="0"/>
        <w:adjustRightInd w:val="0"/>
        <w:jc w:val="both"/>
        <w:rPr>
          <w:sz w:val="20"/>
          <w:szCs w:val="20"/>
        </w:rPr>
      </w:pPr>
    </w:p>
    <w:p w:rsidR="00D3790F" w:rsidRPr="00F90AD5" w:rsidRDefault="00D3790F" w:rsidP="00D3790F">
      <w:pPr>
        <w:numPr>
          <w:ilvl w:val="0"/>
          <w:numId w:val="3"/>
        </w:numPr>
        <w:tabs>
          <w:tab w:val="left" w:pos="720"/>
        </w:tabs>
        <w:autoSpaceDE w:val="0"/>
        <w:autoSpaceDN w:val="0"/>
        <w:adjustRightInd w:val="0"/>
        <w:ind w:left="720" w:hanging="360"/>
        <w:jc w:val="both"/>
        <w:rPr>
          <w:color w:val="000000"/>
          <w:sz w:val="20"/>
          <w:szCs w:val="20"/>
        </w:rPr>
      </w:pPr>
      <w:r w:rsidRPr="00F90AD5">
        <w:rPr>
          <w:color w:val="000000"/>
          <w:sz w:val="20"/>
          <w:szCs w:val="20"/>
        </w:rPr>
        <w:t>No se suscriben las actas de recepción en el tiempo que estipula el contrato. Por lo tanto los contratistas se ven afectados en la parte económica por lo que se les solicita la renovación de las garantías (buen uso de materiales y fiel cumplimiento), las cuales deben estar vigentes hasta la suscripción de las mismas.</w:t>
      </w:r>
    </w:p>
    <w:p w:rsidR="00D3790F" w:rsidRPr="00F90AD5" w:rsidRDefault="00D3790F" w:rsidP="00D3790F">
      <w:pPr>
        <w:autoSpaceDE w:val="0"/>
        <w:autoSpaceDN w:val="0"/>
        <w:adjustRightInd w:val="0"/>
        <w:jc w:val="both"/>
        <w:rPr>
          <w:color w:val="000000"/>
          <w:sz w:val="20"/>
          <w:szCs w:val="20"/>
        </w:rPr>
      </w:pPr>
    </w:p>
    <w:p w:rsidR="00D3790F" w:rsidRPr="00F90AD5" w:rsidRDefault="00D3790F" w:rsidP="00D3790F">
      <w:pPr>
        <w:numPr>
          <w:ilvl w:val="0"/>
          <w:numId w:val="4"/>
        </w:numPr>
        <w:tabs>
          <w:tab w:val="left" w:pos="720"/>
        </w:tabs>
        <w:autoSpaceDE w:val="0"/>
        <w:autoSpaceDN w:val="0"/>
        <w:adjustRightInd w:val="0"/>
        <w:ind w:left="720" w:hanging="360"/>
        <w:jc w:val="both"/>
        <w:rPr>
          <w:color w:val="000000"/>
          <w:sz w:val="20"/>
          <w:szCs w:val="20"/>
        </w:rPr>
      </w:pPr>
      <w:r w:rsidRPr="00F90AD5">
        <w:rPr>
          <w:color w:val="000000"/>
          <w:sz w:val="20"/>
          <w:szCs w:val="20"/>
        </w:rPr>
        <w:t>Existe monitoreo deficiente de las actividades regulares de ésta área.</w:t>
      </w:r>
    </w:p>
    <w:p w:rsidR="00D3790F" w:rsidRPr="00F90AD5" w:rsidRDefault="00D3790F" w:rsidP="00D3790F">
      <w:pPr>
        <w:autoSpaceDE w:val="0"/>
        <w:autoSpaceDN w:val="0"/>
        <w:adjustRightInd w:val="0"/>
        <w:jc w:val="both"/>
        <w:rPr>
          <w:color w:val="000000"/>
          <w:sz w:val="20"/>
          <w:szCs w:val="20"/>
        </w:rPr>
      </w:pPr>
    </w:p>
    <w:p w:rsidR="00D3790F" w:rsidRPr="00F90AD5" w:rsidRDefault="00D3790F" w:rsidP="00D3790F">
      <w:pPr>
        <w:numPr>
          <w:ilvl w:val="0"/>
          <w:numId w:val="5"/>
        </w:numPr>
        <w:tabs>
          <w:tab w:val="left" w:pos="720"/>
        </w:tabs>
        <w:autoSpaceDE w:val="0"/>
        <w:autoSpaceDN w:val="0"/>
        <w:adjustRightInd w:val="0"/>
        <w:ind w:left="720" w:hanging="360"/>
        <w:jc w:val="both"/>
        <w:rPr>
          <w:sz w:val="20"/>
          <w:szCs w:val="20"/>
        </w:rPr>
      </w:pPr>
      <w:r w:rsidRPr="00F90AD5">
        <w:rPr>
          <w:sz w:val="20"/>
          <w:szCs w:val="20"/>
        </w:rPr>
        <w:t xml:space="preserve">Las actividades de control no están siendo cumplidas a cabalidad. </w:t>
      </w:r>
    </w:p>
    <w:p w:rsidR="00D3790F" w:rsidRPr="00F90AD5" w:rsidRDefault="00D3790F" w:rsidP="00D3790F">
      <w:pPr>
        <w:tabs>
          <w:tab w:val="left" w:pos="5440"/>
        </w:tabs>
        <w:autoSpaceDE w:val="0"/>
        <w:autoSpaceDN w:val="0"/>
        <w:adjustRightInd w:val="0"/>
        <w:ind w:left="629"/>
        <w:jc w:val="center"/>
        <w:rPr>
          <w:sz w:val="20"/>
          <w:szCs w:val="20"/>
        </w:rPr>
      </w:pPr>
    </w:p>
    <w:p w:rsidR="00D3790F" w:rsidRPr="00B80267" w:rsidRDefault="00B80267" w:rsidP="00D3790F">
      <w:pPr>
        <w:autoSpaceDE w:val="0"/>
        <w:autoSpaceDN w:val="0"/>
        <w:adjustRightInd w:val="0"/>
        <w:jc w:val="both"/>
        <w:rPr>
          <w:b/>
          <w:bCs/>
          <w:sz w:val="22"/>
          <w:szCs w:val="22"/>
        </w:rPr>
      </w:pPr>
      <w:r w:rsidRPr="00B80267">
        <w:rPr>
          <w:b/>
          <w:bCs/>
          <w:sz w:val="22"/>
          <w:szCs w:val="22"/>
        </w:rPr>
        <w:t xml:space="preserve">4.1 </w:t>
      </w:r>
      <w:r w:rsidR="00D3790F" w:rsidRPr="00B80267">
        <w:rPr>
          <w:b/>
          <w:bCs/>
          <w:sz w:val="22"/>
          <w:szCs w:val="22"/>
        </w:rPr>
        <w:t>Análisis de Contratistas y Fiscalizadores año 2006</w:t>
      </w:r>
      <w:r w:rsidRPr="00B80267">
        <w:rPr>
          <w:b/>
          <w:bCs/>
          <w:sz w:val="22"/>
          <w:szCs w:val="22"/>
        </w:rPr>
        <w:t>.</w:t>
      </w:r>
      <w:r w:rsidR="00D3790F" w:rsidRPr="00B80267">
        <w:rPr>
          <w:b/>
          <w:bCs/>
          <w:sz w:val="22"/>
          <w:szCs w:val="22"/>
        </w:rPr>
        <w:t xml:space="preserve"> </w:t>
      </w:r>
    </w:p>
    <w:p w:rsidR="00D3790F" w:rsidRPr="00F90AD5" w:rsidRDefault="00D3790F" w:rsidP="00D3790F">
      <w:pPr>
        <w:autoSpaceDE w:val="0"/>
        <w:autoSpaceDN w:val="0"/>
        <w:adjustRightInd w:val="0"/>
        <w:jc w:val="both"/>
        <w:rPr>
          <w:sz w:val="20"/>
          <w:szCs w:val="20"/>
        </w:rPr>
      </w:pPr>
      <w:r w:rsidRPr="00F90AD5">
        <w:rPr>
          <w:sz w:val="20"/>
          <w:szCs w:val="20"/>
        </w:rPr>
        <w:t>El anexo 2 del año 2006 se muestra la frecuencia de los fiscalizadores, es decir de las 17 obras en el año 2006 cuantas veces fue asignado cierto fiscalizador a la obra. Se logra constatar que los Fiscalizadores de mayor frecuencia en ser seleccionados fueron:</w:t>
      </w:r>
    </w:p>
    <w:p w:rsidR="00D3790F" w:rsidRPr="00F90AD5" w:rsidRDefault="00D3790F" w:rsidP="00D3790F">
      <w:pPr>
        <w:autoSpaceDE w:val="0"/>
        <w:autoSpaceDN w:val="0"/>
        <w:adjustRightInd w:val="0"/>
        <w:spacing w:line="480" w:lineRule="auto"/>
        <w:ind w:left="741"/>
        <w:jc w:val="both"/>
        <w:rPr>
          <w:rFonts w:ascii="Arial" w:hAnsi="Arial" w:cs="Arial"/>
          <w:sz w:val="20"/>
          <w:szCs w:val="20"/>
        </w:rPr>
      </w:pPr>
    </w:p>
    <w:p w:rsidR="00D3790F" w:rsidRPr="00F90AD5" w:rsidRDefault="00D3790F" w:rsidP="00D3790F">
      <w:pPr>
        <w:autoSpaceDE w:val="0"/>
        <w:autoSpaceDN w:val="0"/>
        <w:adjustRightInd w:val="0"/>
        <w:ind w:left="743"/>
        <w:jc w:val="center"/>
        <w:rPr>
          <w:sz w:val="20"/>
          <w:szCs w:val="20"/>
        </w:rPr>
      </w:pPr>
      <w:r w:rsidRPr="00F90AD5">
        <w:rPr>
          <w:sz w:val="20"/>
          <w:szCs w:val="20"/>
        </w:rPr>
        <w:t>Ing. Fernando Bejar con frecuencia 2</w:t>
      </w:r>
    </w:p>
    <w:p w:rsidR="00D3790F" w:rsidRPr="00F90AD5" w:rsidRDefault="00D3790F" w:rsidP="00D3790F">
      <w:pPr>
        <w:autoSpaceDE w:val="0"/>
        <w:autoSpaceDN w:val="0"/>
        <w:adjustRightInd w:val="0"/>
        <w:ind w:left="743"/>
        <w:jc w:val="center"/>
        <w:rPr>
          <w:sz w:val="20"/>
          <w:szCs w:val="20"/>
        </w:rPr>
      </w:pPr>
      <w:r w:rsidRPr="00F90AD5">
        <w:rPr>
          <w:sz w:val="20"/>
          <w:szCs w:val="20"/>
        </w:rPr>
        <w:t xml:space="preserve">Arq. José Macías  con frecuencia 2 </w:t>
      </w:r>
    </w:p>
    <w:p w:rsidR="00D3790F" w:rsidRPr="00F90AD5" w:rsidRDefault="00D3790F" w:rsidP="00D3790F">
      <w:pPr>
        <w:autoSpaceDE w:val="0"/>
        <w:autoSpaceDN w:val="0"/>
        <w:adjustRightInd w:val="0"/>
        <w:ind w:left="743"/>
        <w:jc w:val="center"/>
        <w:rPr>
          <w:sz w:val="20"/>
          <w:szCs w:val="20"/>
        </w:rPr>
      </w:pPr>
      <w:r w:rsidRPr="00F90AD5">
        <w:rPr>
          <w:sz w:val="20"/>
          <w:szCs w:val="20"/>
        </w:rPr>
        <w:t>Ing. Raimundo Portilla con frecuencia de 2</w:t>
      </w:r>
    </w:p>
    <w:p w:rsidR="00D3790F" w:rsidRPr="00F90AD5" w:rsidRDefault="00D3790F" w:rsidP="00D3790F">
      <w:pPr>
        <w:autoSpaceDE w:val="0"/>
        <w:autoSpaceDN w:val="0"/>
        <w:adjustRightInd w:val="0"/>
        <w:ind w:left="743"/>
        <w:jc w:val="center"/>
        <w:rPr>
          <w:sz w:val="20"/>
          <w:szCs w:val="20"/>
        </w:rPr>
      </w:pPr>
      <w:r w:rsidRPr="00F90AD5">
        <w:rPr>
          <w:sz w:val="20"/>
          <w:szCs w:val="20"/>
        </w:rPr>
        <w:t>Arq. Carlos Guerrero con frecuencia de 4</w:t>
      </w:r>
    </w:p>
    <w:p w:rsidR="00D3790F" w:rsidRPr="00F90AD5" w:rsidRDefault="00D3790F" w:rsidP="00D3790F">
      <w:pPr>
        <w:autoSpaceDE w:val="0"/>
        <w:autoSpaceDN w:val="0"/>
        <w:adjustRightInd w:val="0"/>
        <w:jc w:val="both"/>
        <w:rPr>
          <w:b/>
          <w:bCs/>
          <w:sz w:val="20"/>
          <w:szCs w:val="20"/>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 xml:space="preserve">Entre ellos, uno es fiscalizador propio de la institución y tres son externos,  dado que los fiscalizadores externos reciben un % de ingresos sobre el valor de la obra ya sea esta principal y un % más si en el transcurso de los trabajos existen obras complementarias y otro % en caso de fiscalizar por trabajos adicionales mientras que los </w:t>
      </w:r>
      <w:r w:rsidRPr="00F90AD5">
        <w:rPr>
          <w:sz w:val="20"/>
          <w:szCs w:val="20"/>
          <w:lang w:val="es-ES_tradnl"/>
        </w:rPr>
        <w:lastRenderedPageBreak/>
        <w:t>fiscalizadores internos no reciben ningún reconocimiento por dicho trabajo.</w:t>
      </w:r>
    </w:p>
    <w:p w:rsidR="00D3790F" w:rsidRPr="00F90AD5" w:rsidRDefault="00D3790F" w:rsidP="00D3790F">
      <w:pPr>
        <w:autoSpaceDE w:val="0"/>
        <w:autoSpaceDN w:val="0"/>
        <w:adjustRightInd w:val="0"/>
        <w:jc w:val="both"/>
        <w:rPr>
          <w:sz w:val="20"/>
          <w:szCs w:val="20"/>
          <w:lang w:val="es-ES_tradnl"/>
        </w:rPr>
      </w:pPr>
    </w:p>
    <w:p w:rsidR="00D3790F" w:rsidRDefault="00D3790F" w:rsidP="00C15624">
      <w:pPr>
        <w:keepNext/>
        <w:numPr>
          <w:ilvl w:val="1"/>
          <w:numId w:val="4"/>
        </w:numPr>
        <w:autoSpaceDE w:val="0"/>
        <w:autoSpaceDN w:val="0"/>
        <w:adjustRightInd w:val="0"/>
        <w:jc w:val="both"/>
        <w:rPr>
          <w:b/>
          <w:bCs/>
          <w:sz w:val="22"/>
          <w:szCs w:val="22"/>
          <w:lang w:val="es-ES_tradnl"/>
        </w:rPr>
      </w:pPr>
      <w:r w:rsidRPr="00B80267">
        <w:rPr>
          <w:b/>
          <w:bCs/>
          <w:sz w:val="22"/>
          <w:szCs w:val="22"/>
          <w:lang w:val="es-ES_tradnl"/>
        </w:rPr>
        <w:t>Análisis de las Actas Entrega Recepción</w:t>
      </w:r>
    </w:p>
    <w:p w:rsidR="00C15624" w:rsidRPr="00B80267" w:rsidRDefault="00C15624" w:rsidP="00C15624">
      <w:pPr>
        <w:keepNext/>
        <w:autoSpaceDE w:val="0"/>
        <w:autoSpaceDN w:val="0"/>
        <w:adjustRightInd w:val="0"/>
        <w:jc w:val="both"/>
        <w:rPr>
          <w:b/>
          <w:bCs/>
          <w:sz w:val="22"/>
          <w:szCs w:val="22"/>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 xml:space="preserve">Una vez finalizado los trabajos de acuerdo al plazo estipulado en el contrato, el contratista solicita por escrito a </w:t>
      </w:r>
      <w:smartTag w:uri="urn:schemas-microsoft-com:office:smarttags" w:element="PersonName">
        <w:smartTagPr>
          <w:attr w:name="ProductID" w:val="la Fiscalizaci￳n"/>
        </w:smartTagPr>
        <w:r w:rsidRPr="00F90AD5">
          <w:rPr>
            <w:sz w:val="20"/>
            <w:szCs w:val="20"/>
            <w:lang w:val="es-ES_tradnl"/>
          </w:rPr>
          <w:t>la Fiscalización</w:t>
        </w:r>
      </w:smartTag>
      <w:r w:rsidRPr="00F90AD5">
        <w:rPr>
          <w:sz w:val="20"/>
          <w:szCs w:val="20"/>
          <w:lang w:val="es-ES_tradnl"/>
        </w:rPr>
        <w:t xml:space="preserve"> la recepción de los mismos, luego de 15 días de haber recibido dicha comunicación y de haber recibidos los trabajos a satisfacción de lo entidad contratante. En una cláusula del contrato se establece si debe ser provisional y definitiva o solo un acta de entrega recepción.</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 xml:space="preserve">Lo antes descrito esta establecido en </w:t>
      </w:r>
      <w:smartTag w:uri="urn:schemas-microsoft-com:office:smarttags" w:element="PersonName">
        <w:smartTagPr>
          <w:attr w:name="ProductID" w:val="la Ley"/>
        </w:smartTagPr>
        <w:r w:rsidRPr="00F90AD5">
          <w:rPr>
            <w:sz w:val="20"/>
            <w:szCs w:val="20"/>
            <w:lang w:val="es-ES_tradnl"/>
          </w:rPr>
          <w:t>la Ley</w:t>
        </w:r>
      </w:smartTag>
      <w:r w:rsidRPr="00F90AD5">
        <w:rPr>
          <w:sz w:val="20"/>
          <w:szCs w:val="20"/>
          <w:lang w:val="es-ES_tradnl"/>
        </w:rPr>
        <w:t xml:space="preserve"> de contratación Pública según Art. 80</w:t>
      </w:r>
      <w:r w:rsidR="000617FC" w:rsidRPr="00F90AD5">
        <w:rPr>
          <w:sz w:val="20"/>
          <w:szCs w:val="20"/>
          <w:lang w:val="es-ES_tradnl"/>
        </w:rPr>
        <w:t>.</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A continuación analizaremos si este proceso  se ha realizado con eficiencia durante el año 2006 con respecto a los contratos suscritos en ese año.</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De las 5 Actas de Entrega Recepción en promedio 77 días se atrasaron en ser suscritas cuando debió ser en máximo 15 días.</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De las 12 Actas Entrega Recepción Provisional se evidenció que  tienen un tiempo promedio en que se retrasan en suscribir el acta de 135 días. Siendo el máximo de 15 días.</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Para las actas Definitivas deberán deberá transcurrir mínimo  6 meses para ser suscritas, una vez que el contratista solicite por escrito a la entidad; esta tendrá quince días para realizar la recepción definitiva de los trabajos. Se evidenció un promedio de 53 días, en suscribir el acta.</w:t>
      </w:r>
    </w:p>
    <w:p w:rsidR="00EA43C0" w:rsidRPr="00F90AD5" w:rsidRDefault="00EA43C0" w:rsidP="00EA43C0">
      <w:pPr>
        <w:tabs>
          <w:tab w:val="left" w:pos="7160"/>
        </w:tabs>
        <w:jc w:val="center"/>
        <w:rPr>
          <w:b/>
          <w:bCs/>
          <w:sz w:val="20"/>
          <w:szCs w:val="20"/>
        </w:rPr>
      </w:pPr>
      <w:r w:rsidRPr="00F90AD5">
        <w:rPr>
          <w:b/>
          <w:bCs/>
          <w:sz w:val="20"/>
          <w:szCs w:val="20"/>
        </w:rPr>
        <w:t>Gráfico 4.4</w:t>
      </w:r>
    </w:p>
    <w:p w:rsidR="00EA43C0" w:rsidRPr="00F90AD5" w:rsidRDefault="00EA43C0" w:rsidP="0098218A">
      <w:pPr>
        <w:tabs>
          <w:tab w:val="left" w:pos="7800"/>
        </w:tabs>
        <w:jc w:val="center"/>
        <w:rPr>
          <w:b/>
          <w:sz w:val="20"/>
          <w:szCs w:val="20"/>
        </w:rPr>
      </w:pPr>
      <w:r w:rsidRPr="00F90AD5">
        <w:rPr>
          <w:sz w:val="20"/>
          <w:szCs w:val="20"/>
        </w:rPr>
        <w:t>Diagrama de barras</w:t>
      </w:r>
      <w:r w:rsidRPr="00F90AD5">
        <w:rPr>
          <w:b/>
          <w:sz w:val="20"/>
          <w:szCs w:val="20"/>
        </w:rPr>
        <w:t>: Tiempo que exceden en suscribirse las Actas</w:t>
      </w:r>
    </w:p>
    <w:p w:rsidR="00D3790F" w:rsidRPr="00F90AD5" w:rsidRDefault="007118DF" w:rsidP="00D3790F">
      <w:pPr>
        <w:autoSpaceDE w:val="0"/>
        <w:autoSpaceDN w:val="0"/>
        <w:adjustRightInd w:val="0"/>
        <w:jc w:val="center"/>
        <w:rPr>
          <w:b/>
          <w:bCs/>
          <w:sz w:val="20"/>
          <w:szCs w:val="20"/>
        </w:rPr>
      </w:pPr>
      <w:r>
        <w:rPr>
          <w:rFonts w:ascii="Arial" w:hAnsi="Arial" w:cs="Arial"/>
          <w:noProof/>
          <w:sz w:val="20"/>
          <w:szCs w:val="20"/>
        </w:rPr>
        <w:drawing>
          <wp:inline distT="0" distB="0" distL="0" distR="0">
            <wp:extent cx="2743200" cy="1257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743200" cy="1257300"/>
                    </a:xfrm>
                    <a:prstGeom prst="rect">
                      <a:avLst/>
                    </a:prstGeom>
                    <a:noFill/>
                    <a:ln w="9525">
                      <a:noFill/>
                      <a:miter lim="800000"/>
                      <a:headEnd/>
                      <a:tailEnd/>
                    </a:ln>
                  </pic:spPr>
                </pic:pic>
              </a:graphicData>
            </a:graphic>
          </wp:inline>
        </w:drawing>
      </w:r>
    </w:p>
    <w:p w:rsidR="00EA43C0" w:rsidRPr="00F90AD5" w:rsidRDefault="0098218A" w:rsidP="00EA43C0">
      <w:pPr>
        <w:autoSpaceDE w:val="0"/>
        <w:autoSpaceDN w:val="0"/>
        <w:adjustRightInd w:val="0"/>
        <w:jc w:val="center"/>
        <w:rPr>
          <w:sz w:val="20"/>
          <w:szCs w:val="20"/>
        </w:rPr>
      </w:pPr>
      <w:r w:rsidRPr="00F90AD5">
        <w:rPr>
          <w:b/>
          <w:bCs/>
          <w:sz w:val="20"/>
          <w:szCs w:val="20"/>
        </w:rPr>
        <w:t xml:space="preserve">      </w:t>
      </w:r>
      <w:r w:rsidR="00EA43C0" w:rsidRPr="00F90AD5">
        <w:rPr>
          <w:b/>
          <w:bCs/>
          <w:sz w:val="20"/>
          <w:szCs w:val="20"/>
        </w:rPr>
        <w:t>Fuente:</w:t>
      </w:r>
      <w:r w:rsidR="00EA43C0" w:rsidRPr="00F90AD5">
        <w:rPr>
          <w:sz w:val="20"/>
          <w:szCs w:val="20"/>
        </w:rPr>
        <w:t xml:space="preserve"> Jefatura Cultural Regional </w:t>
      </w:r>
    </w:p>
    <w:p w:rsidR="00EA43C0" w:rsidRPr="00F90AD5" w:rsidRDefault="0098218A" w:rsidP="00EA43C0">
      <w:pPr>
        <w:autoSpaceDE w:val="0"/>
        <w:autoSpaceDN w:val="0"/>
        <w:adjustRightInd w:val="0"/>
        <w:jc w:val="center"/>
        <w:rPr>
          <w:sz w:val="20"/>
          <w:szCs w:val="20"/>
        </w:rPr>
      </w:pPr>
      <w:r w:rsidRPr="00F90AD5">
        <w:rPr>
          <w:b/>
          <w:bCs/>
          <w:sz w:val="20"/>
          <w:szCs w:val="20"/>
        </w:rPr>
        <w:t xml:space="preserve">   </w:t>
      </w:r>
      <w:r w:rsidR="00EA43C0" w:rsidRPr="00F90AD5">
        <w:rPr>
          <w:b/>
          <w:bCs/>
          <w:sz w:val="20"/>
          <w:szCs w:val="20"/>
        </w:rPr>
        <w:t>Elaboración:</w:t>
      </w:r>
      <w:r w:rsidR="00EA43C0" w:rsidRPr="00F90AD5">
        <w:rPr>
          <w:sz w:val="20"/>
          <w:szCs w:val="20"/>
        </w:rPr>
        <w:t xml:space="preserve"> Pamela Hidalgo</w:t>
      </w:r>
    </w:p>
    <w:p w:rsidR="000617FC" w:rsidRPr="00F90AD5" w:rsidRDefault="000617FC" w:rsidP="00D3790F">
      <w:pPr>
        <w:autoSpaceDE w:val="0"/>
        <w:autoSpaceDN w:val="0"/>
        <w:adjustRightInd w:val="0"/>
        <w:jc w:val="both"/>
        <w:rPr>
          <w:b/>
          <w:bCs/>
          <w:sz w:val="20"/>
          <w:szCs w:val="20"/>
        </w:rPr>
      </w:pPr>
    </w:p>
    <w:p w:rsidR="00D3790F" w:rsidRPr="00F90AD5" w:rsidRDefault="00D3790F" w:rsidP="00D3790F">
      <w:pPr>
        <w:autoSpaceDE w:val="0"/>
        <w:autoSpaceDN w:val="0"/>
        <w:adjustRightInd w:val="0"/>
        <w:jc w:val="both"/>
        <w:rPr>
          <w:sz w:val="20"/>
          <w:szCs w:val="20"/>
          <w:lang w:val="es-ES_tradnl"/>
        </w:rPr>
      </w:pPr>
      <w:r w:rsidRPr="00F90AD5">
        <w:rPr>
          <w:sz w:val="20"/>
          <w:szCs w:val="20"/>
          <w:lang w:val="es-ES_tradnl"/>
        </w:rPr>
        <w:t xml:space="preserve">Se determinó, que en promedio para suscribir las actas se excedieron: </w:t>
      </w:r>
    </w:p>
    <w:p w:rsidR="00D3790F" w:rsidRPr="00F90AD5" w:rsidRDefault="00D3790F" w:rsidP="00D3790F">
      <w:pPr>
        <w:autoSpaceDE w:val="0"/>
        <w:autoSpaceDN w:val="0"/>
        <w:adjustRightInd w:val="0"/>
        <w:jc w:val="both"/>
        <w:rPr>
          <w:sz w:val="20"/>
          <w:szCs w:val="20"/>
          <w:lang w:val="es-ES_tradnl"/>
        </w:rPr>
      </w:pPr>
    </w:p>
    <w:p w:rsidR="00D3790F" w:rsidRPr="00F90AD5" w:rsidRDefault="00D3790F" w:rsidP="00D3790F">
      <w:pPr>
        <w:autoSpaceDE w:val="0"/>
        <w:autoSpaceDN w:val="0"/>
        <w:adjustRightInd w:val="0"/>
        <w:jc w:val="both"/>
        <w:rPr>
          <w:rFonts w:ascii="Arial" w:hAnsi="Arial" w:cs="Arial"/>
          <w:color w:val="000000"/>
          <w:sz w:val="20"/>
          <w:szCs w:val="20"/>
          <w:lang w:val="es-ES_tradnl"/>
        </w:rPr>
      </w:pPr>
      <w:r w:rsidRPr="00F90AD5">
        <w:rPr>
          <w:sz w:val="20"/>
          <w:szCs w:val="20"/>
          <w:lang w:val="es-ES_tradnl"/>
        </w:rPr>
        <w:lastRenderedPageBreak/>
        <w:t>Acta de Entrega Recepción se excede en 62 días, Acta Entrega Recepción Provisional se excede en 120 días y el Acta Entrega Recepción Definitiva se excede en 38 días</w:t>
      </w:r>
      <w:r w:rsidRPr="00F90AD5">
        <w:rPr>
          <w:rFonts w:ascii="Arial" w:hAnsi="Arial" w:cs="Arial"/>
          <w:color w:val="000000"/>
          <w:sz w:val="20"/>
          <w:szCs w:val="20"/>
          <w:lang w:val="es-ES_tradnl"/>
        </w:rPr>
        <w:t>.</w:t>
      </w:r>
    </w:p>
    <w:p w:rsidR="00D3790F" w:rsidRPr="00F90AD5" w:rsidRDefault="00D3790F" w:rsidP="00D3790F">
      <w:pPr>
        <w:autoSpaceDE w:val="0"/>
        <w:autoSpaceDN w:val="0"/>
        <w:adjustRightInd w:val="0"/>
        <w:jc w:val="both"/>
        <w:rPr>
          <w:sz w:val="20"/>
          <w:szCs w:val="20"/>
          <w:lang w:val="es-ES_tradnl"/>
        </w:rPr>
      </w:pPr>
    </w:p>
    <w:p w:rsidR="00D3790F" w:rsidRPr="002C51EE" w:rsidRDefault="002C51EE" w:rsidP="00D3790F">
      <w:pPr>
        <w:autoSpaceDE w:val="0"/>
        <w:autoSpaceDN w:val="0"/>
        <w:adjustRightInd w:val="0"/>
        <w:jc w:val="both"/>
        <w:rPr>
          <w:b/>
          <w:bCs/>
        </w:rPr>
      </w:pPr>
      <w:r w:rsidRPr="002C51EE">
        <w:rPr>
          <w:b/>
          <w:bCs/>
        </w:rPr>
        <w:t xml:space="preserve">5. </w:t>
      </w:r>
      <w:r w:rsidR="00D3790F" w:rsidRPr="002C51EE">
        <w:rPr>
          <w:b/>
          <w:bCs/>
        </w:rPr>
        <w:t>Conclusiones y Recomendaciones</w:t>
      </w:r>
    </w:p>
    <w:p w:rsidR="000B542E" w:rsidRPr="00F90AD5" w:rsidRDefault="000B542E" w:rsidP="00D3790F">
      <w:pPr>
        <w:autoSpaceDE w:val="0"/>
        <w:autoSpaceDN w:val="0"/>
        <w:adjustRightInd w:val="0"/>
        <w:jc w:val="both"/>
        <w:rPr>
          <w:b/>
          <w:bCs/>
          <w:sz w:val="20"/>
          <w:szCs w:val="20"/>
        </w:rPr>
      </w:pPr>
    </w:p>
    <w:p w:rsidR="000B542E" w:rsidRPr="00F90AD5" w:rsidRDefault="000B542E" w:rsidP="000B542E">
      <w:pPr>
        <w:numPr>
          <w:ilvl w:val="0"/>
          <w:numId w:val="18"/>
        </w:numPr>
        <w:ind w:left="357" w:hanging="357"/>
        <w:jc w:val="both"/>
        <w:rPr>
          <w:sz w:val="20"/>
          <w:szCs w:val="20"/>
          <w:lang w:val="es-EC"/>
        </w:rPr>
      </w:pPr>
      <w:r w:rsidRPr="00F90AD5">
        <w:rPr>
          <w:sz w:val="20"/>
          <w:szCs w:val="20"/>
          <w:lang w:val="es-EC"/>
        </w:rPr>
        <w:t xml:space="preserve">De </w:t>
      </w:r>
      <w:smartTag w:uri="urn:schemas-microsoft-com:office:smarttags" w:element="PersonName">
        <w:smartTagPr>
          <w:attr w:name="ProductID" w:val="la Evaluaci￳n"/>
        </w:smartTagPr>
        <w:r w:rsidRPr="00F90AD5">
          <w:rPr>
            <w:sz w:val="20"/>
            <w:szCs w:val="20"/>
            <w:lang w:val="es-EC"/>
          </w:rPr>
          <w:t>la Evaluación</w:t>
        </w:r>
      </w:smartTag>
      <w:r w:rsidRPr="00F90AD5">
        <w:rPr>
          <w:sz w:val="20"/>
          <w:szCs w:val="20"/>
          <w:lang w:val="es-EC"/>
        </w:rPr>
        <w:t xml:space="preserve"> del Control Interno efectuada a </w:t>
      </w:r>
      <w:smartTag w:uri="urn:schemas-microsoft-com:office:smarttags" w:element="PersonName">
        <w:smartTagPr>
          <w:attr w:name="ProductID" w:val="la Unidad T￩cnica"/>
        </w:smartTagPr>
        <w:r w:rsidRPr="00F90AD5">
          <w:rPr>
            <w:sz w:val="20"/>
            <w:szCs w:val="20"/>
            <w:lang w:val="es-EC"/>
          </w:rPr>
          <w:t>la Unidad Técnica</w:t>
        </w:r>
      </w:smartTag>
      <w:r w:rsidRPr="00F90AD5">
        <w:rPr>
          <w:sz w:val="20"/>
          <w:szCs w:val="20"/>
          <w:lang w:val="es-EC"/>
        </w:rPr>
        <w:t xml:space="preserve"> se determinó lo siguiente:</w:t>
      </w:r>
    </w:p>
    <w:p w:rsidR="000B542E" w:rsidRPr="00F90AD5" w:rsidRDefault="000B542E" w:rsidP="000B542E">
      <w:pPr>
        <w:jc w:val="both"/>
        <w:rPr>
          <w:sz w:val="20"/>
          <w:szCs w:val="20"/>
          <w:lang w:val="es-EC"/>
        </w:rPr>
      </w:pPr>
    </w:p>
    <w:p w:rsidR="000B542E" w:rsidRPr="00F90AD5" w:rsidRDefault="000B542E" w:rsidP="000B542E">
      <w:pPr>
        <w:numPr>
          <w:ilvl w:val="1"/>
          <w:numId w:val="17"/>
        </w:numPr>
        <w:tabs>
          <w:tab w:val="clear" w:pos="1440"/>
          <w:tab w:val="num" w:pos="720"/>
        </w:tabs>
        <w:ind w:left="1080"/>
        <w:jc w:val="both"/>
        <w:rPr>
          <w:sz w:val="20"/>
          <w:szCs w:val="20"/>
          <w:lang w:val="es-EC"/>
        </w:rPr>
      </w:pPr>
      <w:r w:rsidRPr="00F90AD5">
        <w:rPr>
          <w:color w:val="000000"/>
          <w:sz w:val="20"/>
          <w:szCs w:val="20"/>
        </w:rPr>
        <w:t>No se cumple con el tiempo establecido en la actividad de la elaboración de contratos. En el Reglamento de Contrataciones (orden interno)  se estipula que será de diez días.</w:t>
      </w:r>
    </w:p>
    <w:p w:rsidR="000B542E" w:rsidRPr="00F90AD5" w:rsidRDefault="000B542E" w:rsidP="000B542E">
      <w:pPr>
        <w:ind w:left="720"/>
        <w:jc w:val="both"/>
        <w:rPr>
          <w:sz w:val="20"/>
          <w:szCs w:val="20"/>
          <w:lang w:val="es-EC"/>
        </w:rPr>
      </w:pPr>
    </w:p>
    <w:p w:rsidR="000B542E" w:rsidRPr="00F90AD5" w:rsidRDefault="000B542E" w:rsidP="000B542E">
      <w:pPr>
        <w:numPr>
          <w:ilvl w:val="1"/>
          <w:numId w:val="17"/>
        </w:numPr>
        <w:tabs>
          <w:tab w:val="clear" w:pos="1440"/>
          <w:tab w:val="num" w:pos="720"/>
        </w:tabs>
        <w:ind w:left="1080"/>
        <w:jc w:val="both"/>
        <w:rPr>
          <w:sz w:val="20"/>
          <w:szCs w:val="20"/>
          <w:lang w:val="es-EC"/>
        </w:rPr>
      </w:pPr>
      <w:r w:rsidRPr="00F90AD5">
        <w:rPr>
          <w:color w:val="000000"/>
          <w:sz w:val="20"/>
          <w:szCs w:val="20"/>
        </w:rPr>
        <w:t>No se suscriben las actas de recepción en el tiempo que estipula el contrato. Por lo tanto los contratistas se ven afectados en la parte económica por lo que se les solicita la renovación de las garantías (buen uso de materiales y fiel cumplimiento), las cuales deben estar vigentes hasta la suscripción de las mismas.</w:t>
      </w:r>
    </w:p>
    <w:p w:rsidR="000B542E" w:rsidRPr="00F90AD5" w:rsidRDefault="000B542E" w:rsidP="000B542E">
      <w:pPr>
        <w:jc w:val="both"/>
        <w:rPr>
          <w:sz w:val="20"/>
          <w:szCs w:val="20"/>
          <w:lang w:val="es-EC"/>
        </w:rPr>
      </w:pPr>
    </w:p>
    <w:p w:rsidR="000B542E" w:rsidRPr="00F90AD5" w:rsidRDefault="000B542E" w:rsidP="000B542E">
      <w:pPr>
        <w:numPr>
          <w:ilvl w:val="1"/>
          <w:numId w:val="17"/>
        </w:numPr>
        <w:tabs>
          <w:tab w:val="clear" w:pos="1440"/>
          <w:tab w:val="num" w:pos="720"/>
        </w:tabs>
        <w:ind w:left="1080"/>
        <w:jc w:val="both"/>
        <w:rPr>
          <w:sz w:val="20"/>
          <w:szCs w:val="20"/>
        </w:rPr>
      </w:pPr>
      <w:r w:rsidRPr="00F90AD5">
        <w:rPr>
          <w:sz w:val="20"/>
          <w:szCs w:val="20"/>
        </w:rPr>
        <w:t>En lo que respecta a la suscripción de actas provisionales y definitivas; en su gran mayoría se suscriben después de la fecha establecida en el contrato.</w:t>
      </w:r>
    </w:p>
    <w:p w:rsidR="000B542E" w:rsidRPr="00F90AD5" w:rsidRDefault="000B542E" w:rsidP="000B542E">
      <w:pPr>
        <w:ind w:left="360"/>
        <w:jc w:val="both"/>
        <w:rPr>
          <w:sz w:val="20"/>
          <w:szCs w:val="20"/>
        </w:rPr>
      </w:pPr>
    </w:p>
    <w:p w:rsidR="000B542E" w:rsidRPr="00F90AD5" w:rsidRDefault="000B542E" w:rsidP="000B542E">
      <w:pPr>
        <w:numPr>
          <w:ilvl w:val="0"/>
          <w:numId w:val="18"/>
        </w:numPr>
        <w:jc w:val="both"/>
        <w:rPr>
          <w:sz w:val="20"/>
          <w:szCs w:val="20"/>
        </w:rPr>
      </w:pPr>
      <w:r w:rsidRPr="00F90AD5">
        <w:rPr>
          <w:sz w:val="20"/>
          <w:szCs w:val="20"/>
        </w:rPr>
        <w:t>Con respecto a la variable tiempo de suscripción de contrato se pudo determinar que el</w:t>
      </w:r>
      <w:r w:rsidRPr="00F90AD5">
        <w:rPr>
          <w:color w:val="000000"/>
          <w:sz w:val="20"/>
          <w:szCs w:val="20"/>
        </w:rPr>
        <w:t xml:space="preserve"> </w:t>
      </w:r>
      <w:r w:rsidRPr="00F90AD5">
        <w:rPr>
          <w:b/>
          <w:bCs/>
          <w:i/>
          <w:iCs/>
          <w:color w:val="000000"/>
          <w:sz w:val="20"/>
          <w:szCs w:val="20"/>
        </w:rPr>
        <w:t>tiempo promedio demora</w:t>
      </w:r>
      <w:r w:rsidRPr="00F90AD5">
        <w:rPr>
          <w:color w:val="000000"/>
          <w:sz w:val="20"/>
          <w:szCs w:val="20"/>
        </w:rPr>
        <w:t xml:space="preserve"> fue de tres días para el año 2005 y de 17 días para el año 2006 que tarda en suscribir el contrato. Hay que recalcar que los contratos del año 2005 fueron suscritos en el mes de diciembre, puesto que el proceso contractual de dichos concursos comenzó en este año por el mes de octubre y se terminaron de suscribir los contratos por el mes de diciembre al término del ejercicio económico, por tal motivo el tiempo demora fue mínimo en comparación al año 2006, ya que dichos contratos fueron firmados en el transcurso del año.</w:t>
      </w:r>
    </w:p>
    <w:p w:rsidR="000B542E" w:rsidRPr="00F90AD5" w:rsidRDefault="000B542E" w:rsidP="000B542E">
      <w:pPr>
        <w:ind w:left="360"/>
        <w:jc w:val="both"/>
        <w:rPr>
          <w:sz w:val="20"/>
          <w:szCs w:val="20"/>
        </w:rPr>
      </w:pPr>
    </w:p>
    <w:p w:rsidR="000B542E" w:rsidRPr="00F90AD5" w:rsidRDefault="000B542E" w:rsidP="000B542E">
      <w:pPr>
        <w:ind w:left="360"/>
        <w:jc w:val="both"/>
        <w:rPr>
          <w:sz w:val="20"/>
          <w:szCs w:val="20"/>
        </w:rPr>
      </w:pPr>
      <w:r w:rsidRPr="00F90AD5">
        <w:rPr>
          <w:sz w:val="20"/>
          <w:szCs w:val="20"/>
        </w:rPr>
        <w:t xml:space="preserve">Se pudo determinar que el valor de la media aumentó en un 407.31% con respecto al año anterior 2005. Esta variable le aumenta aproximadamente 14 días al proceso de suscripción del contrato. Lo que se evidencia que las variables involucradas en el año 2005 como tiempo de entrega de garantías, modalidad de concursos, valores adjudicados no fueron causa de retraso en la suscripción. </w:t>
      </w:r>
    </w:p>
    <w:p w:rsidR="000B542E" w:rsidRPr="00F90AD5" w:rsidRDefault="000B542E" w:rsidP="000B542E">
      <w:pPr>
        <w:ind w:left="708"/>
        <w:jc w:val="both"/>
        <w:rPr>
          <w:sz w:val="20"/>
          <w:szCs w:val="20"/>
        </w:rPr>
      </w:pPr>
    </w:p>
    <w:p w:rsidR="000B542E" w:rsidRPr="00F90AD5" w:rsidRDefault="000B542E" w:rsidP="000B542E">
      <w:pPr>
        <w:numPr>
          <w:ilvl w:val="0"/>
          <w:numId w:val="18"/>
        </w:numPr>
        <w:ind w:left="357" w:hanging="357"/>
        <w:jc w:val="both"/>
        <w:rPr>
          <w:sz w:val="20"/>
          <w:szCs w:val="20"/>
          <w:lang w:val="es-EC"/>
        </w:rPr>
      </w:pPr>
      <w:r w:rsidRPr="00F90AD5">
        <w:rPr>
          <w:sz w:val="20"/>
          <w:szCs w:val="20"/>
          <w:lang w:val="es-EC"/>
        </w:rPr>
        <w:t xml:space="preserve">La tabla del </w:t>
      </w:r>
      <w:r w:rsidRPr="00F90AD5">
        <w:rPr>
          <w:b/>
          <w:sz w:val="20"/>
          <w:szCs w:val="20"/>
          <w:lang w:val="es-EC"/>
        </w:rPr>
        <w:t>anexo 2 (h)</w:t>
      </w:r>
      <w:r w:rsidRPr="00F90AD5">
        <w:rPr>
          <w:sz w:val="20"/>
          <w:szCs w:val="20"/>
          <w:lang w:val="es-EC"/>
        </w:rPr>
        <w:t xml:space="preserve"> muestra las Actas de Entrega Recepción Provisionales y Definitivas que han sido suscritas. De los 17 contratos solo  5 suscribieron las actas con recepción provisional  y definitiva.</w:t>
      </w:r>
    </w:p>
    <w:p w:rsidR="000B542E" w:rsidRPr="00F90AD5" w:rsidRDefault="000B542E" w:rsidP="000B542E">
      <w:pPr>
        <w:jc w:val="both"/>
        <w:rPr>
          <w:sz w:val="20"/>
          <w:szCs w:val="20"/>
          <w:lang w:val="es-EC"/>
        </w:rPr>
      </w:pPr>
    </w:p>
    <w:p w:rsidR="000B542E" w:rsidRPr="00F90AD5" w:rsidRDefault="000B542E" w:rsidP="000B542E">
      <w:pPr>
        <w:ind w:left="360"/>
        <w:jc w:val="both"/>
        <w:rPr>
          <w:sz w:val="20"/>
          <w:szCs w:val="20"/>
        </w:rPr>
      </w:pPr>
      <w:r w:rsidRPr="00F90AD5">
        <w:rPr>
          <w:sz w:val="20"/>
          <w:szCs w:val="20"/>
        </w:rPr>
        <w:t xml:space="preserve">La tabla del </w:t>
      </w:r>
      <w:r w:rsidRPr="00F90AD5">
        <w:rPr>
          <w:b/>
          <w:sz w:val="20"/>
          <w:szCs w:val="20"/>
        </w:rPr>
        <w:t>anexo 2 (i)</w:t>
      </w:r>
      <w:r w:rsidRPr="00F90AD5">
        <w:rPr>
          <w:sz w:val="20"/>
          <w:szCs w:val="20"/>
        </w:rPr>
        <w:t xml:space="preserve"> muestra las actas de Entrega Recepción suscritas. De los 17 contratos solo 5 suscribieron las actas con una sola recepción.</w:t>
      </w:r>
    </w:p>
    <w:p w:rsidR="000B542E" w:rsidRPr="00F90AD5" w:rsidRDefault="000B542E" w:rsidP="000B542E">
      <w:pPr>
        <w:jc w:val="both"/>
        <w:rPr>
          <w:sz w:val="20"/>
          <w:szCs w:val="20"/>
        </w:rPr>
      </w:pPr>
    </w:p>
    <w:p w:rsidR="000B542E" w:rsidRPr="00F90AD5" w:rsidRDefault="000B542E" w:rsidP="000B542E">
      <w:pPr>
        <w:ind w:left="360"/>
        <w:jc w:val="both"/>
        <w:rPr>
          <w:sz w:val="20"/>
          <w:szCs w:val="20"/>
        </w:rPr>
      </w:pPr>
      <w:r w:rsidRPr="00F90AD5">
        <w:rPr>
          <w:sz w:val="20"/>
          <w:szCs w:val="20"/>
        </w:rPr>
        <w:t>En total solo se ha cumplido con un total de 10 Actas lo cual representaría el 59%.</w:t>
      </w:r>
    </w:p>
    <w:p w:rsidR="000B542E" w:rsidRPr="00F90AD5" w:rsidRDefault="000B542E" w:rsidP="000B542E">
      <w:pPr>
        <w:ind w:left="360"/>
        <w:jc w:val="both"/>
        <w:rPr>
          <w:sz w:val="20"/>
          <w:szCs w:val="20"/>
        </w:rPr>
      </w:pPr>
    </w:p>
    <w:p w:rsidR="000B542E" w:rsidRPr="00F90AD5" w:rsidRDefault="000B542E" w:rsidP="000B542E">
      <w:pPr>
        <w:ind w:left="360"/>
        <w:jc w:val="both"/>
        <w:rPr>
          <w:sz w:val="20"/>
          <w:szCs w:val="20"/>
        </w:rPr>
      </w:pPr>
      <w:r w:rsidRPr="00F90AD5">
        <w:rPr>
          <w:sz w:val="20"/>
          <w:szCs w:val="20"/>
        </w:rPr>
        <w:t xml:space="preserve">En la tabla del </w:t>
      </w:r>
      <w:r w:rsidRPr="00F90AD5">
        <w:rPr>
          <w:b/>
          <w:sz w:val="20"/>
          <w:szCs w:val="20"/>
        </w:rPr>
        <w:t>anexo 2 (l)</w:t>
      </w:r>
      <w:r w:rsidRPr="00F90AD5">
        <w:rPr>
          <w:sz w:val="20"/>
          <w:szCs w:val="20"/>
        </w:rPr>
        <w:t xml:space="preserve"> se muestra el exceso en días para la suscripción de las Actas. Del Tiempo de Demora de suscripción del Acta de Entrega Recepción se observó que de las 5 actas, en promedio se atrasaron 77 días en ser suscritas cuando debió ser en máximos 15 días.</w:t>
      </w:r>
    </w:p>
    <w:p w:rsidR="000B542E" w:rsidRPr="00F90AD5" w:rsidRDefault="000B542E" w:rsidP="000B542E">
      <w:pPr>
        <w:ind w:left="360"/>
        <w:jc w:val="both"/>
        <w:rPr>
          <w:sz w:val="20"/>
          <w:szCs w:val="20"/>
        </w:rPr>
      </w:pPr>
    </w:p>
    <w:p w:rsidR="000B542E" w:rsidRPr="00F90AD5" w:rsidRDefault="000B542E" w:rsidP="000B542E">
      <w:pPr>
        <w:ind w:left="360"/>
        <w:jc w:val="both"/>
        <w:rPr>
          <w:sz w:val="20"/>
          <w:szCs w:val="20"/>
        </w:rPr>
      </w:pPr>
      <w:r w:rsidRPr="00F90AD5">
        <w:rPr>
          <w:sz w:val="20"/>
          <w:szCs w:val="20"/>
        </w:rPr>
        <w:t xml:space="preserve">En la tabla del </w:t>
      </w:r>
      <w:r w:rsidRPr="00F90AD5">
        <w:rPr>
          <w:b/>
          <w:sz w:val="20"/>
          <w:szCs w:val="20"/>
        </w:rPr>
        <w:t xml:space="preserve">anexo 2 (l) </w:t>
      </w:r>
      <w:r w:rsidRPr="00F90AD5">
        <w:rPr>
          <w:sz w:val="20"/>
          <w:szCs w:val="20"/>
        </w:rPr>
        <w:t xml:space="preserve"> se muestra el exceso en días para la suscripción de las Actas. Del Tiempo de Demora de suscripción del Acta de Entrega Recepción Provisional se comprobó que de 12 Actas de Entrega Recepción Provisional tienen un tiempo promedio en suscribirse de 135 días, siendo el máximo de 15 días.</w:t>
      </w:r>
    </w:p>
    <w:p w:rsidR="000B542E" w:rsidRPr="00F90AD5" w:rsidRDefault="000B542E" w:rsidP="000B542E">
      <w:pPr>
        <w:ind w:left="360"/>
        <w:jc w:val="both"/>
        <w:rPr>
          <w:sz w:val="20"/>
          <w:szCs w:val="20"/>
        </w:rPr>
      </w:pPr>
    </w:p>
    <w:p w:rsidR="000B542E" w:rsidRPr="00F90AD5" w:rsidRDefault="000B542E" w:rsidP="000B542E">
      <w:pPr>
        <w:ind w:left="360"/>
        <w:jc w:val="both"/>
        <w:rPr>
          <w:color w:val="000000"/>
          <w:sz w:val="20"/>
          <w:szCs w:val="20"/>
        </w:rPr>
      </w:pPr>
      <w:r w:rsidRPr="00F90AD5">
        <w:rPr>
          <w:sz w:val="20"/>
          <w:szCs w:val="20"/>
        </w:rPr>
        <w:t xml:space="preserve">En la tabla del </w:t>
      </w:r>
      <w:r w:rsidRPr="00F90AD5">
        <w:rPr>
          <w:b/>
          <w:sz w:val="20"/>
          <w:szCs w:val="20"/>
        </w:rPr>
        <w:t xml:space="preserve">anexo 2 (l) </w:t>
      </w:r>
      <w:r w:rsidRPr="00F90AD5">
        <w:rPr>
          <w:sz w:val="20"/>
          <w:szCs w:val="20"/>
        </w:rPr>
        <w:t xml:space="preserve">se muestra el exceso en días para la suscripción de las Actas. Las actas definitivas deben ser suscritas después de haber transcurrido 6 meses de </w:t>
      </w:r>
      <w:r w:rsidRPr="00F90AD5">
        <w:rPr>
          <w:color w:val="000000"/>
          <w:sz w:val="20"/>
          <w:szCs w:val="20"/>
        </w:rPr>
        <w:t>suscribirse la provisional, una vez que el contratista solicite por escrito a la entidad; esta tendrá quince días para realizar la recepción definitiva de los trabajos; lo cual se evidencia que no se cumple debido que en promedio se tardan 53 días en ser suscritas.</w:t>
      </w:r>
    </w:p>
    <w:p w:rsidR="000B542E" w:rsidRPr="00F90AD5" w:rsidRDefault="000B542E" w:rsidP="000B542E">
      <w:pPr>
        <w:ind w:left="360"/>
        <w:jc w:val="both"/>
        <w:rPr>
          <w:color w:val="000000"/>
          <w:sz w:val="20"/>
          <w:szCs w:val="20"/>
        </w:rPr>
      </w:pPr>
    </w:p>
    <w:p w:rsidR="000B542E" w:rsidRPr="00F90AD5" w:rsidRDefault="000B542E" w:rsidP="000B542E">
      <w:pPr>
        <w:ind w:left="360"/>
        <w:jc w:val="both"/>
        <w:rPr>
          <w:sz w:val="20"/>
          <w:szCs w:val="20"/>
        </w:rPr>
      </w:pPr>
      <w:r w:rsidRPr="00F90AD5">
        <w:rPr>
          <w:sz w:val="20"/>
          <w:szCs w:val="20"/>
        </w:rPr>
        <w:t xml:space="preserve">Luego de ser suscrito el contrato se ejecuta los trabajos, el contratista solicita la recepción de los trabajos, la fiscalización los recibe y elabora un documento que es fiel original de todo lo sucedido en la obra. El contrato estipula que una vez finalizado los trabajos este solicitará por escrito a la entidad suscribir las Actas, ya sea de Recepción, Provisional o Definitiva, esta tendrá </w:t>
      </w:r>
      <w:r w:rsidRPr="00F90AD5">
        <w:rPr>
          <w:b/>
          <w:sz w:val="20"/>
          <w:szCs w:val="20"/>
        </w:rPr>
        <w:t>15 días</w:t>
      </w:r>
      <w:r w:rsidRPr="00F90AD5">
        <w:rPr>
          <w:sz w:val="20"/>
          <w:szCs w:val="20"/>
        </w:rPr>
        <w:t xml:space="preserve"> para ser suscritas por las partes interesadas; pero según el análisis estas sobrepasan lo establecido:</w:t>
      </w:r>
    </w:p>
    <w:p w:rsidR="000B542E" w:rsidRPr="00F90AD5" w:rsidRDefault="000B542E" w:rsidP="000B542E">
      <w:pPr>
        <w:ind w:left="360"/>
        <w:jc w:val="both"/>
        <w:rPr>
          <w:sz w:val="20"/>
          <w:szCs w:val="20"/>
        </w:rPr>
      </w:pPr>
    </w:p>
    <w:p w:rsidR="000B542E" w:rsidRPr="00F90AD5" w:rsidRDefault="000B542E" w:rsidP="000B542E">
      <w:pPr>
        <w:ind w:left="360"/>
        <w:jc w:val="both"/>
        <w:rPr>
          <w:sz w:val="20"/>
          <w:szCs w:val="20"/>
        </w:rPr>
      </w:pPr>
      <w:r w:rsidRPr="00F90AD5">
        <w:rPr>
          <w:sz w:val="20"/>
          <w:szCs w:val="20"/>
        </w:rPr>
        <w:t>Acta de Entrega Recepción se excede en 62 días, Acta Entrega Recepción Provisional se excede en 120 días y el Acta Entrega Recepción Definitiva se excede en 38 días.</w:t>
      </w:r>
    </w:p>
    <w:p w:rsidR="000B542E" w:rsidRPr="00F90AD5" w:rsidRDefault="000B542E" w:rsidP="000B542E">
      <w:pPr>
        <w:ind w:left="360"/>
        <w:jc w:val="both"/>
        <w:rPr>
          <w:sz w:val="20"/>
          <w:szCs w:val="20"/>
        </w:rPr>
      </w:pPr>
    </w:p>
    <w:p w:rsidR="000B542E" w:rsidRPr="00F90AD5" w:rsidRDefault="000B542E" w:rsidP="000B542E">
      <w:pPr>
        <w:ind w:left="360"/>
        <w:jc w:val="both"/>
        <w:rPr>
          <w:sz w:val="20"/>
          <w:szCs w:val="20"/>
        </w:rPr>
      </w:pPr>
      <w:r w:rsidRPr="00F90AD5">
        <w:rPr>
          <w:sz w:val="20"/>
          <w:szCs w:val="20"/>
        </w:rPr>
        <w:t xml:space="preserve">Dando como resultado que un fiscalizador externo se demora </w:t>
      </w:r>
      <w:r w:rsidRPr="00F90AD5">
        <w:rPr>
          <w:b/>
          <w:sz w:val="20"/>
          <w:szCs w:val="20"/>
        </w:rPr>
        <w:t xml:space="preserve">14 días más  </w:t>
      </w:r>
      <w:r w:rsidRPr="00F90AD5">
        <w:rPr>
          <w:sz w:val="20"/>
          <w:szCs w:val="20"/>
        </w:rPr>
        <w:t>que un fiscalizador interno en suscribir las actas.</w:t>
      </w:r>
    </w:p>
    <w:p w:rsidR="000B542E" w:rsidRPr="00F90AD5" w:rsidRDefault="000B542E" w:rsidP="000B542E">
      <w:pPr>
        <w:ind w:left="360"/>
        <w:jc w:val="both"/>
        <w:rPr>
          <w:sz w:val="20"/>
          <w:szCs w:val="20"/>
        </w:rPr>
      </w:pPr>
    </w:p>
    <w:p w:rsidR="000B542E" w:rsidRPr="00F90AD5" w:rsidRDefault="000B542E" w:rsidP="000B542E">
      <w:pPr>
        <w:numPr>
          <w:ilvl w:val="0"/>
          <w:numId w:val="18"/>
        </w:numPr>
        <w:jc w:val="both"/>
        <w:rPr>
          <w:sz w:val="20"/>
          <w:szCs w:val="20"/>
        </w:rPr>
      </w:pPr>
      <w:r w:rsidRPr="00F90AD5">
        <w:rPr>
          <w:sz w:val="20"/>
          <w:szCs w:val="20"/>
        </w:rPr>
        <w:t xml:space="preserve">En relación a los fiscalizadores externos vs. Internos. Se pudo determinar del análisis que en el año 2006 el 59% de los </w:t>
      </w:r>
      <w:r w:rsidRPr="00F90AD5">
        <w:rPr>
          <w:sz w:val="20"/>
          <w:szCs w:val="20"/>
        </w:rPr>
        <w:lastRenderedPageBreak/>
        <w:t xml:space="preserve">contratos suscritos tuvieron asignado 10 fiscalizadores externos mientras que el 41% de los contratos suscritos tuvieron asignado 7 fiscalizadores internos. </w:t>
      </w:r>
    </w:p>
    <w:p w:rsidR="00D3790F" w:rsidRPr="00F90AD5" w:rsidRDefault="00D3790F" w:rsidP="00D3790F">
      <w:pPr>
        <w:autoSpaceDE w:val="0"/>
        <w:autoSpaceDN w:val="0"/>
        <w:adjustRightInd w:val="0"/>
        <w:jc w:val="both"/>
        <w:rPr>
          <w:sz w:val="20"/>
          <w:szCs w:val="20"/>
        </w:rPr>
      </w:pPr>
    </w:p>
    <w:p w:rsidR="00D3790F" w:rsidRPr="00F90AD5" w:rsidRDefault="00D3790F" w:rsidP="00D3790F">
      <w:pPr>
        <w:autoSpaceDE w:val="0"/>
        <w:autoSpaceDN w:val="0"/>
        <w:adjustRightInd w:val="0"/>
        <w:jc w:val="both"/>
        <w:rPr>
          <w:sz w:val="20"/>
          <w:szCs w:val="20"/>
          <w:lang w:val="es-EC"/>
        </w:rPr>
      </w:pPr>
    </w:p>
    <w:p w:rsidR="00D3790F" w:rsidRPr="00F90AD5" w:rsidRDefault="00D3790F" w:rsidP="00D3790F">
      <w:pPr>
        <w:autoSpaceDE w:val="0"/>
        <w:autoSpaceDN w:val="0"/>
        <w:adjustRightInd w:val="0"/>
        <w:ind w:firstLine="360"/>
        <w:jc w:val="both"/>
        <w:rPr>
          <w:sz w:val="20"/>
          <w:szCs w:val="20"/>
          <w:lang w:val="es-EC"/>
        </w:rPr>
      </w:pPr>
      <w:r w:rsidRPr="00F90AD5">
        <w:rPr>
          <w:sz w:val="20"/>
          <w:szCs w:val="20"/>
          <w:lang w:val="es-EC"/>
        </w:rPr>
        <w:t xml:space="preserve">Se recomienda a </w:t>
      </w:r>
      <w:smartTag w:uri="urn:schemas-microsoft-com:office:smarttags" w:element="PersonName">
        <w:smartTagPr>
          <w:attr w:name="ProductID" w:val="LA JEFATURA CULTURAL"/>
        </w:smartTagPr>
        <w:r w:rsidRPr="00F90AD5">
          <w:rPr>
            <w:sz w:val="20"/>
            <w:szCs w:val="20"/>
            <w:lang w:val="es-EC"/>
          </w:rPr>
          <w:t>la Jefatura Cultural</w:t>
        </w:r>
      </w:smartTag>
      <w:r w:rsidRPr="00F90AD5">
        <w:rPr>
          <w:sz w:val="20"/>
          <w:szCs w:val="20"/>
          <w:lang w:val="es-EC"/>
        </w:rPr>
        <w:t xml:space="preserve"> lo siguiente:</w:t>
      </w:r>
    </w:p>
    <w:p w:rsidR="00D3790F" w:rsidRPr="00F90AD5" w:rsidRDefault="00D3790F" w:rsidP="00D3790F">
      <w:pPr>
        <w:autoSpaceDE w:val="0"/>
        <w:autoSpaceDN w:val="0"/>
        <w:adjustRightInd w:val="0"/>
        <w:jc w:val="both"/>
        <w:rPr>
          <w:sz w:val="20"/>
          <w:szCs w:val="20"/>
          <w:lang w:val="es-EC"/>
        </w:rPr>
      </w:pPr>
    </w:p>
    <w:p w:rsidR="00223A18" w:rsidRPr="00F90AD5" w:rsidRDefault="00223A18" w:rsidP="00223A18">
      <w:pPr>
        <w:numPr>
          <w:ilvl w:val="0"/>
          <w:numId w:val="20"/>
        </w:numPr>
        <w:jc w:val="both"/>
        <w:rPr>
          <w:color w:val="000000"/>
          <w:sz w:val="20"/>
          <w:szCs w:val="20"/>
        </w:rPr>
      </w:pPr>
      <w:smartTag w:uri="urn:schemas-microsoft-com:office:smarttags" w:element="PersonName">
        <w:smartTagPr>
          <w:attr w:name="ProductID" w:val="La Auditoria Interna"/>
        </w:smartTagPr>
        <w:r w:rsidRPr="00F90AD5">
          <w:rPr>
            <w:color w:val="000000"/>
            <w:sz w:val="20"/>
            <w:szCs w:val="20"/>
          </w:rPr>
          <w:t>La Auditoria Interna</w:t>
        </w:r>
      </w:smartTag>
      <w:r w:rsidRPr="00F90AD5">
        <w:rPr>
          <w:color w:val="000000"/>
          <w:sz w:val="20"/>
          <w:szCs w:val="20"/>
        </w:rPr>
        <w:t xml:space="preserve"> debe exigir y verificar el cumplimiento de las disposiciones contenidas en el Reglamento de Contrataciones y en </w:t>
      </w:r>
      <w:smartTag w:uri="urn:schemas-microsoft-com:office:smarttags" w:element="PersonName">
        <w:smartTagPr>
          <w:attr w:name="ProductID" w:val="la Ley"/>
        </w:smartTagPr>
        <w:r w:rsidRPr="00F90AD5">
          <w:rPr>
            <w:color w:val="000000"/>
            <w:sz w:val="20"/>
            <w:szCs w:val="20"/>
          </w:rPr>
          <w:t>la Ley</w:t>
        </w:r>
      </w:smartTag>
      <w:r w:rsidRPr="00F90AD5">
        <w:rPr>
          <w:color w:val="000000"/>
          <w:sz w:val="20"/>
          <w:szCs w:val="20"/>
        </w:rPr>
        <w:t xml:space="preserve"> de Contratación Pública, las cuales deben ser observadas de manera obligatoria a las personas involucradas.</w:t>
      </w:r>
    </w:p>
    <w:p w:rsidR="00223A18" w:rsidRPr="00F90AD5" w:rsidRDefault="00223A18" w:rsidP="00223A18">
      <w:pPr>
        <w:jc w:val="both"/>
        <w:rPr>
          <w:color w:val="000000"/>
          <w:sz w:val="20"/>
          <w:szCs w:val="20"/>
        </w:rPr>
      </w:pPr>
    </w:p>
    <w:p w:rsidR="00223A18" w:rsidRPr="00F90AD5" w:rsidRDefault="00223A18" w:rsidP="00223A18">
      <w:pPr>
        <w:numPr>
          <w:ilvl w:val="0"/>
          <w:numId w:val="20"/>
        </w:numPr>
        <w:jc w:val="both"/>
        <w:rPr>
          <w:color w:val="000000"/>
          <w:sz w:val="20"/>
          <w:szCs w:val="20"/>
        </w:rPr>
      </w:pPr>
      <w:r w:rsidRPr="00F90AD5">
        <w:rPr>
          <w:color w:val="000000"/>
          <w:sz w:val="20"/>
          <w:szCs w:val="20"/>
        </w:rPr>
        <w:t>Las deficiencias o debilidades del sistema de control interno detectadas en el proceso de elaboración de contratos y de suscripción de Actas, deben ser comunicadas a fin de que se adopten las medidas de ajuste correspondientes.</w:t>
      </w:r>
    </w:p>
    <w:p w:rsidR="00223A18" w:rsidRPr="00F90AD5" w:rsidRDefault="00223A18" w:rsidP="00223A18">
      <w:pPr>
        <w:jc w:val="both"/>
        <w:rPr>
          <w:color w:val="000000"/>
          <w:sz w:val="20"/>
          <w:szCs w:val="20"/>
        </w:rPr>
      </w:pPr>
    </w:p>
    <w:p w:rsidR="00223A18" w:rsidRPr="00F90AD5" w:rsidRDefault="00223A18" w:rsidP="00223A18">
      <w:pPr>
        <w:numPr>
          <w:ilvl w:val="0"/>
          <w:numId w:val="20"/>
        </w:numPr>
        <w:jc w:val="both"/>
        <w:rPr>
          <w:color w:val="000000"/>
          <w:sz w:val="20"/>
          <w:szCs w:val="20"/>
        </w:rPr>
      </w:pPr>
      <w:r w:rsidRPr="00F90AD5">
        <w:rPr>
          <w:color w:val="000000"/>
          <w:sz w:val="20"/>
          <w:szCs w:val="20"/>
        </w:rPr>
        <w:t>Es vital la comprobación de planes, cumplimiento de leyes y Reglamentos. Debe llevarse a cabo mediante acciones de controles previos, simultáneos y de verificación posterior, para que permita con eficiencia y de conformidad a la realidad, una evaluación transparente en beneficio de la entidad.</w:t>
      </w:r>
    </w:p>
    <w:p w:rsidR="00223A18" w:rsidRPr="00F90AD5" w:rsidRDefault="00223A18" w:rsidP="00223A18">
      <w:pPr>
        <w:jc w:val="both"/>
        <w:rPr>
          <w:color w:val="000000"/>
          <w:sz w:val="20"/>
          <w:szCs w:val="20"/>
        </w:rPr>
      </w:pPr>
    </w:p>
    <w:p w:rsidR="00223A18" w:rsidRPr="00F90AD5" w:rsidRDefault="00223A18" w:rsidP="00223A18">
      <w:pPr>
        <w:numPr>
          <w:ilvl w:val="0"/>
          <w:numId w:val="20"/>
        </w:numPr>
        <w:jc w:val="both"/>
        <w:rPr>
          <w:color w:val="000000"/>
          <w:sz w:val="20"/>
          <w:szCs w:val="20"/>
        </w:rPr>
      </w:pPr>
      <w:r w:rsidRPr="00F90AD5">
        <w:rPr>
          <w:sz w:val="20"/>
          <w:szCs w:val="20"/>
        </w:rPr>
        <w:t>C</w:t>
      </w:r>
      <w:r w:rsidRPr="00F90AD5">
        <w:rPr>
          <w:color w:val="000000"/>
          <w:sz w:val="20"/>
          <w:szCs w:val="20"/>
        </w:rPr>
        <w:t>apacitar a las personas involucradas en el proceso de contratación, con la finalidad de mantener el control en la suscripción y plazos de vencimiento de los contratos que se encuentren en vigencia.</w:t>
      </w:r>
    </w:p>
    <w:p w:rsidR="00223A18" w:rsidRPr="00F90AD5" w:rsidRDefault="00223A18" w:rsidP="00223A18">
      <w:pPr>
        <w:jc w:val="both"/>
        <w:rPr>
          <w:color w:val="000000"/>
          <w:sz w:val="20"/>
          <w:szCs w:val="20"/>
        </w:rPr>
      </w:pPr>
    </w:p>
    <w:p w:rsidR="00223A18" w:rsidRPr="00F90AD5" w:rsidRDefault="00223A18" w:rsidP="00223A18">
      <w:pPr>
        <w:numPr>
          <w:ilvl w:val="0"/>
          <w:numId w:val="20"/>
        </w:numPr>
        <w:jc w:val="both"/>
        <w:rPr>
          <w:color w:val="000000"/>
          <w:sz w:val="20"/>
          <w:szCs w:val="20"/>
        </w:rPr>
      </w:pPr>
      <w:r w:rsidRPr="00F90AD5">
        <w:rPr>
          <w:color w:val="000000"/>
          <w:sz w:val="20"/>
          <w:szCs w:val="20"/>
        </w:rPr>
        <w:t>Entregar el instructivo de procedimientos a los fiscalizadores externos, para que efectúen de una manera correcta el seguimiento de los trabajos contratados, a fin de dar cumplimiento a las cláusulas contractuales.</w:t>
      </w:r>
    </w:p>
    <w:p w:rsidR="00223A18" w:rsidRPr="00F90AD5" w:rsidRDefault="00223A18" w:rsidP="00223A18">
      <w:pPr>
        <w:jc w:val="both"/>
        <w:rPr>
          <w:color w:val="000000"/>
          <w:sz w:val="20"/>
          <w:szCs w:val="20"/>
        </w:rPr>
      </w:pPr>
    </w:p>
    <w:p w:rsidR="00223A18" w:rsidRPr="00F90AD5" w:rsidRDefault="00223A18" w:rsidP="00D3790F">
      <w:pPr>
        <w:autoSpaceDE w:val="0"/>
        <w:autoSpaceDN w:val="0"/>
        <w:adjustRightInd w:val="0"/>
        <w:ind w:left="360"/>
        <w:jc w:val="both"/>
        <w:rPr>
          <w:sz w:val="20"/>
          <w:szCs w:val="20"/>
        </w:rPr>
      </w:pPr>
    </w:p>
    <w:p w:rsidR="00D3790F" w:rsidRPr="002C51EE" w:rsidRDefault="002C51EE" w:rsidP="00A968C6">
      <w:pPr>
        <w:autoSpaceDE w:val="0"/>
        <w:autoSpaceDN w:val="0"/>
        <w:adjustRightInd w:val="0"/>
        <w:jc w:val="both"/>
        <w:rPr>
          <w:b/>
          <w:bCs/>
          <w:lang w:val="en-US"/>
        </w:rPr>
      </w:pPr>
      <w:r w:rsidRPr="002C51EE">
        <w:rPr>
          <w:b/>
          <w:bCs/>
          <w:lang w:val="en-US"/>
        </w:rPr>
        <w:t xml:space="preserve">6. </w:t>
      </w:r>
      <w:r w:rsidR="00A968C6" w:rsidRPr="002C51EE">
        <w:rPr>
          <w:b/>
          <w:bCs/>
          <w:lang w:val="en-US"/>
        </w:rPr>
        <w:t>R</w:t>
      </w:r>
      <w:r w:rsidR="00D3790F" w:rsidRPr="002C51EE">
        <w:rPr>
          <w:b/>
          <w:bCs/>
          <w:lang w:val="en-US"/>
        </w:rPr>
        <w:t xml:space="preserve">eferencias </w:t>
      </w:r>
    </w:p>
    <w:p w:rsidR="00223A18" w:rsidRPr="00F90AD5" w:rsidRDefault="00223A18" w:rsidP="00A968C6">
      <w:pPr>
        <w:autoSpaceDE w:val="0"/>
        <w:autoSpaceDN w:val="0"/>
        <w:adjustRightInd w:val="0"/>
        <w:jc w:val="both"/>
        <w:rPr>
          <w:b/>
          <w:bCs/>
          <w:sz w:val="20"/>
          <w:szCs w:val="20"/>
          <w:lang w:val="en-US"/>
        </w:rPr>
      </w:pPr>
    </w:p>
    <w:p w:rsidR="00223A18" w:rsidRPr="00F90AD5" w:rsidRDefault="00223A18" w:rsidP="00A968C6">
      <w:pPr>
        <w:numPr>
          <w:ilvl w:val="0"/>
          <w:numId w:val="21"/>
        </w:numPr>
        <w:tabs>
          <w:tab w:val="left" w:pos="1725"/>
        </w:tabs>
        <w:jc w:val="both"/>
        <w:rPr>
          <w:sz w:val="20"/>
          <w:szCs w:val="20"/>
          <w:lang w:val="en-GB"/>
        </w:rPr>
      </w:pPr>
      <w:r w:rsidRPr="00F90AD5">
        <w:rPr>
          <w:sz w:val="20"/>
          <w:szCs w:val="20"/>
          <w:lang w:val="en-GB"/>
        </w:rPr>
        <w:t>William Mendenhall, Dennos D. Wackerly &amp; Richard Scheaffer</w:t>
      </w:r>
    </w:p>
    <w:p w:rsidR="00223A18" w:rsidRPr="00F90AD5" w:rsidRDefault="00223A18" w:rsidP="00A968C6">
      <w:pPr>
        <w:ind w:left="284"/>
        <w:jc w:val="both"/>
        <w:rPr>
          <w:sz w:val="20"/>
          <w:szCs w:val="20"/>
          <w:lang w:val="es-EC"/>
        </w:rPr>
      </w:pPr>
      <w:r w:rsidRPr="00F90AD5">
        <w:rPr>
          <w:sz w:val="20"/>
          <w:szCs w:val="20"/>
          <w:lang w:val="en-US"/>
        </w:rPr>
        <w:t xml:space="preserve">      </w:t>
      </w:r>
      <w:r w:rsidRPr="00F90AD5">
        <w:rPr>
          <w:sz w:val="20"/>
          <w:szCs w:val="20"/>
          <w:lang w:val="es-EC"/>
        </w:rPr>
        <w:t>Estadística Matemática con Aplicaciones</w:t>
      </w:r>
    </w:p>
    <w:p w:rsidR="00223A18" w:rsidRPr="00F90AD5" w:rsidRDefault="00223A18" w:rsidP="00A968C6">
      <w:pPr>
        <w:ind w:left="284"/>
        <w:jc w:val="both"/>
        <w:rPr>
          <w:sz w:val="20"/>
          <w:szCs w:val="20"/>
          <w:lang w:val="es-EC"/>
        </w:rPr>
      </w:pPr>
      <w:r w:rsidRPr="00F90AD5">
        <w:rPr>
          <w:sz w:val="20"/>
          <w:szCs w:val="20"/>
          <w:lang w:val="es-EC"/>
        </w:rPr>
        <w:t xml:space="preserve">      Grupo Editorial Ibero América</w:t>
      </w:r>
    </w:p>
    <w:p w:rsidR="00223A18" w:rsidRPr="00F90AD5" w:rsidRDefault="00223A18" w:rsidP="00A968C6">
      <w:pPr>
        <w:ind w:left="284"/>
        <w:jc w:val="both"/>
        <w:rPr>
          <w:sz w:val="20"/>
          <w:szCs w:val="20"/>
          <w:lang w:val="es-EC"/>
        </w:rPr>
      </w:pPr>
      <w:r w:rsidRPr="00F90AD5">
        <w:rPr>
          <w:sz w:val="20"/>
          <w:szCs w:val="20"/>
          <w:lang w:val="es-EC"/>
        </w:rPr>
        <w:t xml:space="preserve">      Segunda Edición</w:t>
      </w:r>
    </w:p>
    <w:p w:rsidR="00223A18" w:rsidRPr="00F90AD5" w:rsidRDefault="00223A18" w:rsidP="00A968C6">
      <w:pPr>
        <w:ind w:left="709"/>
        <w:jc w:val="both"/>
        <w:rPr>
          <w:sz w:val="20"/>
          <w:szCs w:val="20"/>
          <w:lang w:val="es-EC"/>
        </w:rPr>
      </w:pPr>
    </w:p>
    <w:p w:rsidR="00223A18" w:rsidRPr="00F90AD5" w:rsidRDefault="00223A18" w:rsidP="00A968C6">
      <w:pPr>
        <w:numPr>
          <w:ilvl w:val="0"/>
          <w:numId w:val="21"/>
        </w:numPr>
        <w:tabs>
          <w:tab w:val="left" w:pos="1725"/>
        </w:tabs>
        <w:jc w:val="both"/>
        <w:rPr>
          <w:sz w:val="20"/>
          <w:szCs w:val="20"/>
          <w:lang w:val="en-GB"/>
        </w:rPr>
      </w:pPr>
      <w:r w:rsidRPr="00F90AD5">
        <w:rPr>
          <w:sz w:val="20"/>
          <w:szCs w:val="20"/>
          <w:lang w:val="en-GB"/>
        </w:rPr>
        <w:t xml:space="preserve">William W. Hines &amp; Montgomery </w:t>
      </w:r>
      <w:smartTag w:uri="urn:schemas-microsoft-com:office:smarttags" w:element="place">
        <w:r w:rsidRPr="00F90AD5">
          <w:rPr>
            <w:sz w:val="20"/>
            <w:szCs w:val="20"/>
            <w:lang w:val="en-GB"/>
          </w:rPr>
          <w:t>Douglas</w:t>
        </w:r>
      </w:smartTag>
    </w:p>
    <w:p w:rsidR="00223A18" w:rsidRPr="00F90AD5" w:rsidRDefault="00223A18" w:rsidP="00A968C6">
      <w:pPr>
        <w:jc w:val="both"/>
        <w:rPr>
          <w:sz w:val="20"/>
          <w:szCs w:val="20"/>
          <w:lang w:val="es-EC"/>
        </w:rPr>
      </w:pPr>
      <w:r w:rsidRPr="00F90AD5">
        <w:rPr>
          <w:sz w:val="20"/>
          <w:szCs w:val="20"/>
          <w:lang w:val="es-EC"/>
        </w:rPr>
        <w:t xml:space="preserve">        </w:t>
      </w:r>
      <w:r w:rsidRPr="00F90AD5">
        <w:rPr>
          <w:sz w:val="20"/>
          <w:szCs w:val="20"/>
          <w:lang w:val="es-EC"/>
        </w:rPr>
        <w:tab/>
        <w:t xml:space="preserve">Probabilidad y Estadística para Ingenierías </w:t>
      </w:r>
    </w:p>
    <w:p w:rsidR="00223A18" w:rsidRPr="00F90AD5" w:rsidRDefault="00223A18" w:rsidP="00A968C6">
      <w:pPr>
        <w:jc w:val="both"/>
        <w:rPr>
          <w:sz w:val="20"/>
          <w:szCs w:val="20"/>
          <w:lang w:val="es-EC"/>
        </w:rPr>
      </w:pPr>
      <w:r w:rsidRPr="00F90AD5">
        <w:rPr>
          <w:sz w:val="20"/>
          <w:szCs w:val="20"/>
          <w:lang w:val="es-EC"/>
        </w:rPr>
        <w:t xml:space="preserve">       </w:t>
      </w:r>
      <w:r w:rsidR="00A968C6" w:rsidRPr="00F90AD5">
        <w:rPr>
          <w:sz w:val="20"/>
          <w:szCs w:val="20"/>
          <w:lang w:val="es-EC"/>
        </w:rPr>
        <w:t xml:space="preserve">     </w:t>
      </w:r>
      <w:r w:rsidRPr="00F90AD5">
        <w:rPr>
          <w:sz w:val="20"/>
          <w:szCs w:val="20"/>
          <w:lang w:val="es-EC"/>
        </w:rPr>
        <w:t xml:space="preserve">  Compañía Editorial Continental</w:t>
      </w:r>
    </w:p>
    <w:p w:rsidR="00223A18" w:rsidRPr="00F90AD5" w:rsidRDefault="00223A18" w:rsidP="00A968C6">
      <w:pPr>
        <w:jc w:val="both"/>
        <w:rPr>
          <w:sz w:val="20"/>
          <w:szCs w:val="20"/>
          <w:lang w:val="es-EC"/>
        </w:rPr>
      </w:pPr>
      <w:r w:rsidRPr="00F90AD5">
        <w:rPr>
          <w:sz w:val="20"/>
          <w:szCs w:val="20"/>
          <w:lang w:val="es-EC"/>
        </w:rPr>
        <w:t xml:space="preserve">        </w:t>
      </w:r>
      <w:r w:rsidR="00A968C6" w:rsidRPr="00F90AD5">
        <w:rPr>
          <w:sz w:val="20"/>
          <w:szCs w:val="20"/>
          <w:lang w:val="es-EC"/>
        </w:rPr>
        <w:t xml:space="preserve">      </w:t>
      </w:r>
      <w:r w:rsidRPr="00F90AD5">
        <w:rPr>
          <w:sz w:val="20"/>
          <w:szCs w:val="20"/>
          <w:lang w:val="es-EC"/>
        </w:rPr>
        <w:t xml:space="preserve"> Tercera Edición en Inglés</w:t>
      </w:r>
    </w:p>
    <w:p w:rsidR="00223A18" w:rsidRPr="00F90AD5" w:rsidRDefault="00223A18" w:rsidP="00A968C6">
      <w:pPr>
        <w:tabs>
          <w:tab w:val="left" w:pos="1725"/>
        </w:tabs>
        <w:ind w:left="360"/>
        <w:jc w:val="both"/>
        <w:rPr>
          <w:sz w:val="20"/>
          <w:szCs w:val="20"/>
          <w:lang w:val="es-EC"/>
        </w:rPr>
      </w:pPr>
      <w:r w:rsidRPr="00F90AD5">
        <w:rPr>
          <w:sz w:val="20"/>
          <w:szCs w:val="20"/>
          <w:lang w:val="es-EC"/>
        </w:rPr>
        <w:t xml:space="preserve">     </w:t>
      </w:r>
      <w:r w:rsidR="00A968C6" w:rsidRPr="00F90AD5">
        <w:rPr>
          <w:sz w:val="20"/>
          <w:szCs w:val="20"/>
          <w:lang w:val="es-EC"/>
        </w:rPr>
        <w:t xml:space="preserve">   </w:t>
      </w:r>
      <w:r w:rsidRPr="00F90AD5">
        <w:rPr>
          <w:sz w:val="20"/>
          <w:szCs w:val="20"/>
          <w:lang w:val="es-EC"/>
        </w:rPr>
        <w:t>Segunda Edición en Español</w:t>
      </w:r>
    </w:p>
    <w:p w:rsidR="00223A18" w:rsidRPr="00F90AD5" w:rsidRDefault="00223A18" w:rsidP="00A968C6">
      <w:pPr>
        <w:tabs>
          <w:tab w:val="left" w:pos="1725"/>
        </w:tabs>
        <w:ind w:left="360"/>
        <w:jc w:val="both"/>
        <w:rPr>
          <w:sz w:val="20"/>
          <w:szCs w:val="20"/>
        </w:rPr>
      </w:pPr>
    </w:p>
    <w:p w:rsidR="00223A18" w:rsidRPr="00F90AD5" w:rsidRDefault="00223A18" w:rsidP="00A968C6">
      <w:pPr>
        <w:numPr>
          <w:ilvl w:val="0"/>
          <w:numId w:val="21"/>
        </w:numPr>
        <w:tabs>
          <w:tab w:val="left" w:pos="1725"/>
        </w:tabs>
        <w:jc w:val="both"/>
        <w:rPr>
          <w:sz w:val="20"/>
          <w:szCs w:val="20"/>
        </w:rPr>
      </w:pPr>
      <w:r w:rsidRPr="00F90AD5">
        <w:rPr>
          <w:sz w:val="20"/>
          <w:szCs w:val="20"/>
          <w:lang w:eastAsia="en-US"/>
        </w:rPr>
        <w:t>Traducción al español: Mantilla Samuel Alberto.</w:t>
      </w:r>
    </w:p>
    <w:p w:rsidR="00223A18" w:rsidRPr="00F90AD5" w:rsidRDefault="00223A18" w:rsidP="00A968C6">
      <w:pPr>
        <w:tabs>
          <w:tab w:val="left" w:pos="1725"/>
        </w:tabs>
        <w:ind w:left="720"/>
        <w:jc w:val="both"/>
        <w:rPr>
          <w:sz w:val="20"/>
          <w:szCs w:val="20"/>
        </w:rPr>
      </w:pPr>
      <w:r w:rsidRPr="00F90AD5">
        <w:rPr>
          <w:sz w:val="20"/>
          <w:szCs w:val="20"/>
        </w:rPr>
        <w:t>Control Interno Informe COSO</w:t>
      </w:r>
    </w:p>
    <w:p w:rsidR="00223A18" w:rsidRPr="00F90AD5" w:rsidRDefault="00223A18" w:rsidP="00A968C6">
      <w:pPr>
        <w:tabs>
          <w:tab w:val="left" w:pos="1725"/>
        </w:tabs>
        <w:ind w:left="720"/>
        <w:jc w:val="both"/>
        <w:rPr>
          <w:sz w:val="20"/>
          <w:szCs w:val="20"/>
        </w:rPr>
      </w:pPr>
      <w:r w:rsidRPr="00F90AD5">
        <w:rPr>
          <w:sz w:val="20"/>
          <w:szCs w:val="20"/>
        </w:rPr>
        <w:t>Editorial Kimpres Ltda..</w:t>
      </w:r>
    </w:p>
    <w:p w:rsidR="00223A18" w:rsidRPr="00F90AD5" w:rsidRDefault="00223A18" w:rsidP="00A968C6">
      <w:pPr>
        <w:tabs>
          <w:tab w:val="left" w:pos="1725"/>
        </w:tabs>
        <w:ind w:left="720"/>
        <w:jc w:val="both"/>
        <w:rPr>
          <w:sz w:val="20"/>
          <w:szCs w:val="20"/>
        </w:rPr>
      </w:pPr>
      <w:r w:rsidRPr="00F90AD5">
        <w:rPr>
          <w:sz w:val="20"/>
          <w:szCs w:val="20"/>
        </w:rPr>
        <w:t>Cuarta edición</w:t>
      </w:r>
    </w:p>
    <w:p w:rsidR="00223A18" w:rsidRPr="00F90AD5" w:rsidRDefault="00223A18" w:rsidP="00A968C6">
      <w:pPr>
        <w:tabs>
          <w:tab w:val="left" w:pos="1725"/>
        </w:tabs>
        <w:ind w:left="720"/>
        <w:jc w:val="both"/>
        <w:rPr>
          <w:sz w:val="20"/>
          <w:szCs w:val="20"/>
        </w:rPr>
      </w:pPr>
    </w:p>
    <w:p w:rsidR="00223A18" w:rsidRPr="00F90AD5" w:rsidRDefault="00223A18" w:rsidP="00A968C6">
      <w:pPr>
        <w:numPr>
          <w:ilvl w:val="0"/>
          <w:numId w:val="21"/>
        </w:numPr>
        <w:tabs>
          <w:tab w:val="left" w:pos="1725"/>
        </w:tabs>
        <w:jc w:val="both"/>
        <w:rPr>
          <w:sz w:val="20"/>
          <w:szCs w:val="20"/>
          <w:lang w:val="es-PE"/>
        </w:rPr>
      </w:pPr>
      <w:r w:rsidRPr="00F90AD5">
        <w:rPr>
          <w:sz w:val="20"/>
          <w:szCs w:val="20"/>
          <w:lang w:val="es-PE"/>
        </w:rPr>
        <w:t xml:space="preserve">Ley de Contratación Pública. </w:t>
      </w:r>
      <w:r w:rsidRPr="00F90AD5">
        <w:rPr>
          <w:sz w:val="20"/>
          <w:szCs w:val="20"/>
          <w:lang w:val="es-PE"/>
        </w:rPr>
        <w:tab/>
      </w:r>
    </w:p>
    <w:p w:rsidR="00223A18" w:rsidRPr="00F90AD5" w:rsidRDefault="00223A18" w:rsidP="00A968C6">
      <w:pPr>
        <w:tabs>
          <w:tab w:val="left" w:pos="1725"/>
        </w:tabs>
        <w:jc w:val="both"/>
        <w:rPr>
          <w:sz w:val="20"/>
          <w:szCs w:val="20"/>
          <w:lang w:val="es-PE"/>
        </w:rPr>
      </w:pPr>
      <w:r w:rsidRPr="00F90AD5">
        <w:rPr>
          <w:sz w:val="20"/>
          <w:szCs w:val="20"/>
          <w:lang w:val="es-PE"/>
        </w:rPr>
        <w:lastRenderedPageBreak/>
        <w:t xml:space="preserve">          </w:t>
      </w:r>
      <w:r w:rsidR="00A968C6" w:rsidRPr="00F90AD5">
        <w:rPr>
          <w:sz w:val="20"/>
          <w:szCs w:val="20"/>
          <w:lang w:val="es-PE"/>
        </w:rPr>
        <w:t xml:space="preserve">    </w:t>
      </w:r>
      <w:r w:rsidRPr="00F90AD5">
        <w:rPr>
          <w:sz w:val="20"/>
          <w:szCs w:val="20"/>
          <w:lang w:val="es-PE"/>
        </w:rPr>
        <w:t>Registro Oficial No. 272 de 22 de febrero de 2001.</w:t>
      </w:r>
    </w:p>
    <w:p w:rsidR="00223A18" w:rsidRPr="00F90AD5" w:rsidRDefault="00223A18" w:rsidP="00A968C6">
      <w:pPr>
        <w:tabs>
          <w:tab w:val="left" w:pos="1725"/>
        </w:tabs>
        <w:jc w:val="both"/>
        <w:rPr>
          <w:sz w:val="20"/>
          <w:szCs w:val="20"/>
          <w:lang w:val="es-PE"/>
        </w:rPr>
      </w:pPr>
    </w:p>
    <w:p w:rsidR="00223A18" w:rsidRPr="00F90AD5" w:rsidRDefault="00223A18" w:rsidP="00A968C6">
      <w:pPr>
        <w:numPr>
          <w:ilvl w:val="0"/>
          <w:numId w:val="21"/>
        </w:numPr>
        <w:tabs>
          <w:tab w:val="left" w:pos="1725"/>
        </w:tabs>
        <w:jc w:val="both"/>
        <w:rPr>
          <w:sz w:val="20"/>
          <w:szCs w:val="20"/>
        </w:rPr>
      </w:pPr>
      <w:r w:rsidRPr="00F90AD5">
        <w:rPr>
          <w:sz w:val="20"/>
          <w:szCs w:val="20"/>
        </w:rPr>
        <w:t xml:space="preserve">Reglamento General de </w:t>
      </w:r>
      <w:smartTag w:uri="urn:schemas-microsoft-com:office:smarttags" w:element="PersonName">
        <w:smartTagPr>
          <w:attr w:name="ProductID" w:val="la Ley"/>
        </w:smartTagPr>
        <w:r w:rsidRPr="00F90AD5">
          <w:rPr>
            <w:sz w:val="20"/>
            <w:szCs w:val="20"/>
          </w:rPr>
          <w:t>la Ley</w:t>
        </w:r>
      </w:smartTag>
      <w:r w:rsidRPr="00F90AD5">
        <w:rPr>
          <w:sz w:val="20"/>
          <w:szCs w:val="20"/>
        </w:rPr>
        <w:t xml:space="preserve"> de Contratación Pública. </w:t>
      </w:r>
    </w:p>
    <w:p w:rsidR="00223A18" w:rsidRPr="00F90AD5" w:rsidRDefault="00223A18" w:rsidP="00A968C6">
      <w:pPr>
        <w:tabs>
          <w:tab w:val="left" w:pos="1725"/>
        </w:tabs>
        <w:jc w:val="both"/>
        <w:rPr>
          <w:sz w:val="20"/>
          <w:szCs w:val="20"/>
        </w:rPr>
      </w:pPr>
      <w:r w:rsidRPr="00F90AD5">
        <w:rPr>
          <w:sz w:val="20"/>
          <w:szCs w:val="20"/>
        </w:rPr>
        <w:t xml:space="preserve">           </w:t>
      </w:r>
      <w:r w:rsidR="00A968C6" w:rsidRPr="00F90AD5">
        <w:rPr>
          <w:sz w:val="20"/>
          <w:szCs w:val="20"/>
        </w:rPr>
        <w:t xml:space="preserve">   </w:t>
      </w:r>
      <w:r w:rsidRPr="00F90AD5">
        <w:rPr>
          <w:sz w:val="20"/>
          <w:szCs w:val="20"/>
        </w:rPr>
        <w:t>Registro Oficial No. 622 de 19 de Julio del 2002.</w:t>
      </w:r>
    </w:p>
    <w:p w:rsidR="00223A18" w:rsidRPr="00F90AD5" w:rsidRDefault="00223A18" w:rsidP="00A968C6">
      <w:pPr>
        <w:tabs>
          <w:tab w:val="left" w:pos="1725"/>
        </w:tabs>
        <w:jc w:val="both"/>
        <w:rPr>
          <w:sz w:val="20"/>
          <w:szCs w:val="20"/>
        </w:rPr>
      </w:pPr>
    </w:p>
    <w:p w:rsidR="00223A18" w:rsidRPr="00F90AD5" w:rsidRDefault="00223A18" w:rsidP="00A968C6">
      <w:pPr>
        <w:numPr>
          <w:ilvl w:val="0"/>
          <w:numId w:val="21"/>
        </w:numPr>
        <w:tabs>
          <w:tab w:val="left" w:pos="1725"/>
        </w:tabs>
        <w:jc w:val="both"/>
        <w:rPr>
          <w:sz w:val="20"/>
          <w:szCs w:val="20"/>
        </w:rPr>
      </w:pPr>
      <w:r w:rsidRPr="00F90AD5">
        <w:rPr>
          <w:sz w:val="20"/>
          <w:szCs w:val="20"/>
        </w:rPr>
        <w:t xml:space="preserve">Reglamento del proyecto de ejecución de obras y de prestación de servicios. </w:t>
      </w:r>
    </w:p>
    <w:p w:rsidR="00223A18" w:rsidRPr="00F90AD5" w:rsidRDefault="00223A18" w:rsidP="00A968C6">
      <w:pPr>
        <w:tabs>
          <w:tab w:val="left" w:pos="1725"/>
        </w:tabs>
        <w:ind w:left="360"/>
        <w:jc w:val="both"/>
        <w:rPr>
          <w:sz w:val="20"/>
          <w:szCs w:val="20"/>
        </w:rPr>
      </w:pPr>
      <w:r w:rsidRPr="00F90AD5">
        <w:rPr>
          <w:sz w:val="20"/>
          <w:szCs w:val="20"/>
        </w:rPr>
        <w:t xml:space="preserve">     </w:t>
      </w:r>
      <w:r w:rsidR="00A968C6" w:rsidRPr="00F90AD5">
        <w:rPr>
          <w:sz w:val="20"/>
          <w:szCs w:val="20"/>
        </w:rPr>
        <w:t xml:space="preserve">  </w:t>
      </w:r>
      <w:r w:rsidRPr="00F90AD5">
        <w:rPr>
          <w:sz w:val="20"/>
          <w:szCs w:val="20"/>
        </w:rPr>
        <w:t>Registro Oficial No.779 de 27 de septiembre de 1991.</w:t>
      </w:r>
    </w:p>
    <w:p w:rsidR="00223A18" w:rsidRPr="00F90AD5" w:rsidRDefault="00223A18" w:rsidP="00A968C6">
      <w:pPr>
        <w:tabs>
          <w:tab w:val="left" w:pos="1725"/>
        </w:tabs>
        <w:jc w:val="both"/>
        <w:rPr>
          <w:sz w:val="20"/>
          <w:szCs w:val="20"/>
        </w:rPr>
      </w:pPr>
    </w:p>
    <w:p w:rsidR="00223A18" w:rsidRPr="00F90AD5" w:rsidRDefault="00223A18" w:rsidP="00A968C6">
      <w:pPr>
        <w:numPr>
          <w:ilvl w:val="0"/>
          <w:numId w:val="21"/>
        </w:numPr>
        <w:tabs>
          <w:tab w:val="left" w:pos="1725"/>
        </w:tabs>
        <w:jc w:val="both"/>
        <w:rPr>
          <w:sz w:val="20"/>
          <w:szCs w:val="20"/>
        </w:rPr>
      </w:pPr>
      <w:r w:rsidRPr="00F90AD5">
        <w:rPr>
          <w:sz w:val="20"/>
          <w:szCs w:val="20"/>
        </w:rPr>
        <w:t xml:space="preserve">Resolución No. </w:t>
      </w:r>
      <w:r w:rsidRPr="00F90AD5">
        <w:rPr>
          <w:sz w:val="20"/>
          <w:szCs w:val="20"/>
          <w:lang w:val="es-PE"/>
        </w:rPr>
        <w:t xml:space="preserve">DBCE-70-CC-BCE. </w:t>
      </w:r>
    </w:p>
    <w:p w:rsidR="00223A18" w:rsidRPr="00F90AD5" w:rsidRDefault="00223A18" w:rsidP="00A968C6">
      <w:pPr>
        <w:tabs>
          <w:tab w:val="left" w:pos="1725"/>
        </w:tabs>
        <w:ind w:left="360"/>
        <w:jc w:val="both"/>
        <w:rPr>
          <w:sz w:val="20"/>
          <w:szCs w:val="20"/>
          <w:lang w:val="es-PE"/>
        </w:rPr>
        <w:sectPr w:rsidR="00223A18" w:rsidRPr="00F90AD5" w:rsidSect="00A97FD4">
          <w:type w:val="continuous"/>
          <w:pgSz w:w="11907" w:h="16840" w:code="9"/>
          <w:pgMar w:top="1440" w:right="1304" w:bottom="1622" w:left="1304" w:header="709" w:footer="709" w:gutter="0"/>
          <w:cols w:num="2" w:space="708" w:equalWidth="0">
            <w:col w:w="4749" w:space="708"/>
            <w:col w:w="3842"/>
          </w:cols>
          <w:titlePg/>
          <w:docGrid w:linePitch="360"/>
        </w:sectPr>
      </w:pPr>
      <w:r w:rsidRPr="00F90AD5">
        <w:rPr>
          <w:sz w:val="20"/>
          <w:szCs w:val="20"/>
        </w:rPr>
        <w:t xml:space="preserve">      </w:t>
      </w:r>
      <w:r w:rsidRPr="00F90AD5">
        <w:rPr>
          <w:sz w:val="20"/>
          <w:szCs w:val="20"/>
          <w:lang w:val="es-PE"/>
        </w:rPr>
        <w:t>Reglamento de Contratacion</w:t>
      </w:r>
      <w:r w:rsidR="0069766A" w:rsidRPr="00F90AD5">
        <w:rPr>
          <w:sz w:val="20"/>
          <w:szCs w:val="20"/>
          <w:lang w:val="es-PE"/>
        </w:rPr>
        <w:t>es BCE de 16 de agosto del 2000.</w:t>
      </w:r>
    </w:p>
    <w:p w:rsidR="00FC4D54" w:rsidRPr="00F90AD5" w:rsidRDefault="00FC4D54">
      <w:pPr>
        <w:rPr>
          <w:sz w:val="20"/>
          <w:szCs w:val="20"/>
          <w:lang w:val="es-PE"/>
        </w:rPr>
      </w:pPr>
    </w:p>
    <w:sectPr w:rsidR="00FC4D54" w:rsidRPr="00F90AD5" w:rsidSect="00D3790F">
      <w:headerReference w:type="first" r:id="rId14"/>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11" w:rsidRDefault="002E5511">
      <w:r>
        <w:separator/>
      </w:r>
    </w:p>
  </w:endnote>
  <w:endnote w:type="continuationSeparator" w:id="1">
    <w:p w:rsidR="002E5511" w:rsidRDefault="002E5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11" w:rsidRDefault="002E5511">
      <w:r>
        <w:separator/>
      </w:r>
    </w:p>
  </w:footnote>
  <w:footnote w:type="continuationSeparator" w:id="1">
    <w:p w:rsidR="002E5511" w:rsidRDefault="002E5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E" w:rsidRDefault="008D3A6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78E"/>
    <w:multiLevelType w:val="singleLevel"/>
    <w:tmpl w:val="7B782CBE"/>
    <w:lvl w:ilvl="0">
      <w:start w:val="8"/>
      <w:numFmt w:val="decimal"/>
      <w:lvlText w:val="%1"/>
      <w:legacy w:legacy="1" w:legacySpace="0" w:legacyIndent="360"/>
      <w:lvlJc w:val="left"/>
      <w:rPr>
        <w:rFonts w:ascii="Times New Roman" w:hAnsi="Times New Roman" w:cs="Times New Roman" w:hint="default"/>
      </w:rPr>
    </w:lvl>
  </w:abstractNum>
  <w:abstractNum w:abstractNumId="1">
    <w:nsid w:val="12B569AD"/>
    <w:multiLevelType w:val="hybridMultilevel"/>
    <w:tmpl w:val="9E5477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A52A84"/>
    <w:multiLevelType w:val="singleLevel"/>
    <w:tmpl w:val="946C74CA"/>
    <w:lvl w:ilvl="0">
      <w:start w:val="7"/>
      <w:numFmt w:val="decimal"/>
      <w:lvlText w:val="%1"/>
      <w:legacy w:legacy="1" w:legacySpace="0" w:legacyIndent="360"/>
      <w:lvlJc w:val="left"/>
      <w:rPr>
        <w:rFonts w:ascii="Times New Roman" w:hAnsi="Times New Roman" w:cs="Times New Roman" w:hint="default"/>
      </w:rPr>
    </w:lvl>
  </w:abstractNum>
  <w:abstractNum w:abstractNumId="3">
    <w:nsid w:val="21A024F0"/>
    <w:multiLevelType w:val="singleLevel"/>
    <w:tmpl w:val="7598B680"/>
    <w:lvl w:ilvl="0">
      <w:start w:val="5"/>
      <w:numFmt w:val="decimal"/>
      <w:lvlText w:val="%1"/>
      <w:legacy w:legacy="1" w:legacySpace="0" w:legacyIndent="360"/>
      <w:lvlJc w:val="left"/>
      <w:rPr>
        <w:rFonts w:ascii="Times New Roman" w:hAnsi="Times New Roman" w:cs="Times New Roman" w:hint="default"/>
      </w:rPr>
    </w:lvl>
  </w:abstractNum>
  <w:abstractNum w:abstractNumId="4">
    <w:nsid w:val="224567D2"/>
    <w:multiLevelType w:val="singleLevel"/>
    <w:tmpl w:val="8A2E79E4"/>
    <w:lvl w:ilvl="0">
      <w:start w:val="3"/>
      <w:numFmt w:val="decimal"/>
      <w:lvlText w:val="%1"/>
      <w:legacy w:legacy="1" w:legacySpace="0" w:legacyIndent="360"/>
      <w:lvlJc w:val="left"/>
      <w:rPr>
        <w:rFonts w:ascii="Times New Roman" w:hAnsi="Times New Roman" w:cs="Times New Roman" w:hint="default"/>
      </w:rPr>
    </w:lvl>
  </w:abstractNum>
  <w:abstractNum w:abstractNumId="5">
    <w:nsid w:val="300144AA"/>
    <w:multiLevelType w:val="singleLevel"/>
    <w:tmpl w:val="9D3CA3D2"/>
    <w:lvl w:ilvl="0">
      <w:start w:val="4"/>
      <w:numFmt w:val="decimal"/>
      <w:lvlText w:val="%1"/>
      <w:legacy w:legacy="1" w:legacySpace="0" w:legacyIndent="360"/>
      <w:lvlJc w:val="left"/>
      <w:rPr>
        <w:rFonts w:ascii="Times New Roman" w:hAnsi="Times New Roman" w:cs="Times New Roman" w:hint="default"/>
      </w:rPr>
    </w:lvl>
  </w:abstractNum>
  <w:abstractNum w:abstractNumId="6">
    <w:nsid w:val="3F415AAD"/>
    <w:multiLevelType w:val="singleLevel"/>
    <w:tmpl w:val="DE32E3C6"/>
    <w:lvl w:ilvl="0">
      <w:start w:val="2"/>
      <w:numFmt w:val="decimal"/>
      <w:lvlText w:val="%1"/>
      <w:legacy w:legacy="1" w:legacySpace="0" w:legacyIndent="360"/>
      <w:lvlJc w:val="left"/>
      <w:rPr>
        <w:rFonts w:ascii="Times New Roman" w:hAnsi="Times New Roman" w:cs="Times New Roman" w:hint="default"/>
      </w:rPr>
    </w:lvl>
  </w:abstractNum>
  <w:abstractNum w:abstractNumId="7">
    <w:nsid w:val="45034206"/>
    <w:multiLevelType w:val="singleLevel"/>
    <w:tmpl w:val="3FA295EE"/>
    <w:lvl w:ilvl="0">
      <w:start w:val="6"/>
      <w:numFmt w:val="decimal"/>
      <w:lvlText w:val="%1"/>
      <w:legacy w:legacy="1" w:legacySpace="0" w:legacyIndent="360"/>
      <w:lvlJc w:val="left"/>
      <w:rPr>
        <w:rFonts w:ascii="Times New Roman" w:hAnsi="Times New Roman" w:cs="Times New Roman" w:hint="default"/>
      </w:rPr>
    </w:lvl>
  </w:abstractNum>
  <w:abstractNum w:abstractNumId="8">
    <w:nsid w:val="4AEE5172"/>
    <w:multiLevelType w:val="multilevel"/>
    <w:tmpl w:val="E29AB86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4D4E010D"/>
    <w:multiLevelType w:val="singleLevel"/>
    <w:tmpl w:val="0FDCB3F0"/>
    <w:lvl w:ilvl="0">
      <w:start w:val="1"/>
      <w:numFmt w:val="decimal"/>
      <w:lvlText w:val="%1"/>
      <w:legacy w:legacy="1" w:legacySpace="0" w:legacyIndent="360"/>
      <w:lvlJc w:val="left"/>
      <w:rPr>
        <w:rFonts w:ascii="Times New Roman" w:hAnsi="Times New Roman" w:cs="Times New Roman" w:hint="default"/>
      </w:rPr>
    </w:lvl>
  </w:abstractNum>
  <w:abstractNum w:abstractNumId="10">
    <w:nsid w:val="5000455B"/>
    <w:multiLevelType w:val="singleLevel"/>
    <w:tmpl w:val="DE32E3C6"/>
    <w:lvl w:ilvl="0">
      <w:start w:val="2"/>
      <w:numFmt w:val="decimal"/>
      <w:lvlText w:val="%1"/>
      <w:legacy w:legacy="1" w:legacySpace="0" w:legacyIndent="360"/>
      <w:lvlJc w:val="left"/>
      <w:rPr>
        <w:rFonts w:ascii="Times New Roman" w:hAnsi="Times New Roman" w:cs="Times New Roman" w:hint="default"/>
      </w:rPr>
    </w:lvl>
  </w:abstractNum>
  <w:abstractNum w:abstractNumId="11">
    <w:nsid w:val="55561A18"/>
    <w:multiLevelType w:val="singleLevel"/>
    <w:tmpl w:val="8A2E79E4"/>
    <w:lvl w:ilvl="0">
      <w:start w:val="3"/>
      <w:numFmt w:val="decimal"/>
      <w:lvlText w:val="%1"/>
      <w:legacy w:legacy="1" w:legacySpace="0" w:legacyIndent="360"/>
      <w:lvlJc w:val="left"/>
      <w:rPr>
        <w:rFonts w:ascii="Times New Roman" w:hAnsi="Times New Roman" w:cs="Times New Roman" w:hint="default"/>
      </w:rPr>
    </w:lvl>
  </w:abstractNum>
  <w:abstractNum w:abstractNumId="12">
    <w:nsid w:val="5C4F7D35"/>
    <w:multiLevelType w:val="hybridMultilevel"/>
    <w:tmpl w:val="0E343560"/>
    <w:lvl w:ilvl="0" w:tplc="0C0A000F">
      <w:start w:val="1"/>
      <w:numFmt w:val="decimal"/>
      <w:lvlText w:val="%1."/>
      <w:lvlJc w:val="left"/>
      <w:pPr>
        <w:tabs>
          <w:tab w:val="num" w:pos="360"/>
        </w:tabs>
        <w:ind w:left="360" w:hanging="360"/>
      </w:pPr>
    </w:lvl>
    <w:lvl w:ilvl="1" w:tplc="068451D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5DCD5A1E"/>
    <w:multiLevelType w:val="hybridMultilevel"/>
    <w:tmpl w:val="E160C66A"/>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5E56484A"/>
    <w:multiLevelType w:val="singleLevel"/>
    <w:tmpl w:val="0FDCB3F0"/>
    <w:lvl w:ilvl="0">
      <w:start w:val="1"/>
      <w:numFmt w:val="decimal"/>
      <w:lvlText w:val="%1"/>
      <w:legacy w:legacy="1" w:legacySpace="0" w:legacyIndent="360"/>
      <w:lvlJc w:val="left"/>
      <w:rPr>
        <w:rFonts w:ascii="Times New Roman" w:hAnsi="Times New Roman" w:cs="Times New Roman" w:hint="default"/>
      </w:rPr>
    </w:lvl>
  </w:abstractNum>
  <w:abstractNum w:abstractNumId="15">
    <w:nsid w:val="65472CE6"/>
    <w:multiLevelType w:val="hybridMultilevel"/>
    <w:tmpl w:val="833AF21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69FC261F"/>
    <w:multiLevelType w:val="singleLevel"/>
    <w:tmpl w:val="0FDCB3F0"/>
    <w:lvl w:ilvl="0">
      <w:start w:val="1"/>
      <w:numFmt w:val="decimal"/>
      <w:lvlText w:val="%1"/>
      <w:legacy w:legacy="1" w:legacySpace="0" w:legacyIndent="360"/>
      <w:lvlJc w:val="left"/>
      <w:rPr>
        <w:rFonts w:ascii="Times New Roman" w:hAnsi="Times New Roman" w:cs="Times New Roman" w:hint="default"/>
      </w:rPr>
    </w:lvl>
  </w:abstractNum>
  <w:abstractNum w:abstractNumId="17">
    <w:nsid w:val="74FB201E"/>
    <w:multiLevelType w:val="singleLevel"/>
    <w:tmpl w:val="8A2E79E4"/>
    <w:lvl w:ilvl="0">
      <w:start w:val="3"/>
      <w:numFmt w:val="decimal"/>
      <w:lvlText w:val="%1"/>
      <w:legacy w:legacy="1" w:legacySpace="0" w:legacyIndent="360"/>
      <w:lvlJc w:val="left"/>
      <w:rPr>
        <w:rFonts w:ascii="Times New Roman" w:hAnsi="Times New Roman" w:cs="Times New Roman" w:hint="default"/>
      </w:rPr>
    </w:lvl>
  </w:abstractNum>
  <w:abstractNum w:abstractNumId="18">
    <w:nsid w:val="7B4675A2"/>
    <w:multiLevelType w:val="singleLevel"/>
    <w:tmpl w:val="DE32E3C6"/>
    <w:lvl w:ilvl="0">
      <w:start w:val="2"/>
      <w:numFmt w:val="decimal"/>
      <w:lvlText w:val="%1"/>
      <w:legacy w:legacy="1" w:legacySpace="0" w:legacyIndent="360"/>
      <w:lvlJc w:val="left"/>
      <w:rPr>
        <w:rFonts w:ascii="Times New Roman" w:hAnsi="Times New Roman" w:cs="Times New Roman" w:hint="default"/>
      </w:rPr>
    </w:lvl>
  </w:abstractNum>
  <w:abstractNum w:abstractNumId="19">
    <w:nsid w:val="7C8E1D40"/>
    <w:multiLevelType w:val="singleLevel"/>
    <w:tmpl w:val="7598B680"/>
    <w:lvl w:ilvl="0">
      <w:start w:val="5"/>
      <w:numFmt w:val="decimal"/>
      <w:lvlText w:val="%1"/>
      <w:legacy w:legacy="1" w:legacySpace="0" w:legacyIndent="360"/>
      <w:lvlJc w:val="left"/>
      <w:rPr>
        <w:rFonts w:ascii="Times New Roman" w:hAnsi="Times New Roman" w:cs="Times New Roman" w:hint="default"/>
      </w:rPr>
    </w:lvl>
  </w:abstractNum>
  <w:abstractNum w:abstractNumId="20">
    <w:nsid w:val="7CCE41F4"/>
    <w:multiLevelType w:val="hybridMultilevel"/>
    <w:tmpl w:val="BE4ABA5E"/>
    <w:lvl w:ilvl="0" w:tplc="0C0A000D">
      <w:start w:val="1"/>
      <w:numFmt w:val="bullet"/>
      <w:lvlText w:val=""/>
      <w:lvlJc w:val="left"/>
      <w:pPr>
        <w:tabs>
          <w:tab w:val="num" w:pos="720"/>
        </w:tabs>
        <w:ind w:left="720" w:hanging="360"/>
      </w:pPr>
      <w:rPr>
        <w:rFonts w:ascii="Wingdings" w:hAnsi="Wingdings" w:hint="default"/>
      </w:rPr>
    </w:lvl>
    <w:lvl w:ilvl="1" w:tplc="B920A79C">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1"/>
  </w:num>
  <w:num w:numId="4">
    <w:abstractNumId w:val="8"/>
  </w:num>
  <w:num w:numId="5">
    <w:abstractNumId w:val="3"/>
  </w:num>
  <w:num w:numId="6">
    <w:abstractNumId w:val="16"/>
  </w:num>
  <w:num w:numId="7">
    <w:abstractNumId w:val="18"/>
  </w:num>
  <w:num w:numId="8">
    <w:abstractNumId w:val="17"/>
  </w:num>
  <w:num w:numId="9">
    <w:abstractNumId w:val="9"/>
  </w:num>
  <w:num w:numId="10">
    <w:abstractNumId w:val="10"/>
  </w:num>
  <w:num w:numId="11">
    <w:abstractNumId w:val="4"/>
  </w:num>
  <w:num w:numId="12">
    <w:abstractNumId w:val="5"/>
  </w:num>
  <w:num w:numId="13">
    <w:abstractNumId w:val="19"/>
  </w:num>
  <w:num w:numId="14">
    <w:abstractNumId w:val="7"/>
  </w:num>
  <w:num w:numId="15">
    <w:abstractNumId w:val="2"/>
  </w:num>
  <w:num w:numId="16">
    <w:abstractNumId w:val="0"/>
  </w:num>
  <w:num w:numId="17">
    <w:abstractNumId w:val="20"/>
  </w:num>
  <w:num w:numId="18">
    <w:abstractNumId w:val="12"/>
  </w:num>
  <w:num w:numId="19">
    <w:abstractNumId w:val="15"/>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3790F"/>
    <w:rsid w:val="000617FC"/>
    <w:rsid w:val="000B542E"/>
    <w:rsid w:val="000F1F15"/>
    <w:rsid w:val="001154B2"/>
    <w:rsid w:val="00136149"/>
    <w:rsid w:val="00223A18"/>
    <w:rsid w:val="002C51EE"/>
    <w:rsid w:val="002E5511"/>
    <w:rsid w:val="0037317C"/>
    <w:rsid w:val="003B0047"/>
    <w:rsid w:val="00410825"/>
    <w:rsid w:val="00544CF2"/>
    <w:rsid w:val="005A6747"/>
    <w:rsid w:val="0069766A"/>
    <w:rsid w:val="007118DF"/>
    <w:rsid w:val="008006E2"/>
    <w:rsid w:val="008D3A6E"/>
    <w:rsid w:val="0098218A"/>
    <w:rsid w:val="009C1186"/>
    <w:rsid w:val="00A30D5E"/>
    <w:rsid w:val="00A968C6"/>
    <w:rsid w:val="00A97FD4"/>
    <w:rsid w:val="00B103A4"/>
    <w:rsid w:val="00B80267"/>
    <w:rsid w:val="00C15624"/>
    <w:rsid w:val="00D3790F"/>
    <w:rsid w:val="00DC079B"/>
    <w:rsid w:val="00EA43C0"/>
    <w:rsid w:val="00F90AD5"/>
    <w:rsid w:val="00FC4D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90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3A18"/>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3160</Words>
  <Characters>17386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lpstr>
    </vt:vector>
  </TitlesOfParts>
  <Company>constructora hidalgo</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galo hidalgo</dc:creator>
  <cp:keywords/>
  <dc:description/>
  <cp:lastModifiedBy>silgivar</cp:lastModifiedBy>
  <cp:revision>2</cp:revision>
  <dcterms:created xsi:type="dcterms:W3CDTF">2010-06-14T15:49:00Z</dcterms:created>
  <dcterms:modified xsi:type="dcterms:W3CDTF">2010-06-14T15:49:00Z</dcterms:modified>
</cp:coreProperties>
</file>