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0" w:rsidRDefault="00DC4271">
      <w:r w:rsidRPr="00DC4271">
        <w:drawing>
          <wp:inline distT="0" distB="0" distL="0" distR="0">
            <wp:extent cx="6158466" cy="2219127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94" cy="2219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6"/>
        <w:gridCol w:w="1698"/>
        <w:gridCol w:w="1159"/>
        <w:gridCol w:w="1159"/>
        <w:gridCol w:w="1216"/>
        <w:gridCol w:w="1216"/>
        <w:gridCol w:w="1216"/>
        <w:gridCol w:w="1216"/>
      </w:tblGrid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bookmarkStart w:id="0" w:name="RANGE!A46:H128"/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lastRenderedPageBreak/>
              <w:t>b.</w:t>
            </w:r>
            <w:bookmarkEnd w:id="0"/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Consumo de materiales en el período: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Cantidades utilizadas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Unidades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Materia Prima Directa: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OP.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OP 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Material X1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1.000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700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1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c.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18"/>
                <w:szCs w:val="18"/>
                <w:lang w:eastAsia="es-EC"/>
              </w:rPr>
              <w:t>Pagó de nómina (Se emitieron cheques) del sector producción.  Considere los siguientes datos:</w:t>
            </w: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Remuneración: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Trabajadores directos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DC4271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137.000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Trabajadores indirectos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40.000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1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Fondo de Reserva cancelado en el Rol: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14.750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1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Se tienen los siguientes descuentos: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Aporte Individual al I.E.S.S.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Préstamos Trabajadores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         8.300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Impuesto a la Renta por Pagar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DC4271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     1.200,00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1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d.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Efectuar la distribución de la Nómina (Remuneración y Fondo de Reserva):</w:t>
            </w: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 xml:space="preserve"> Distribución Remuneración Trabajadores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 xml:space="preserve">  Directos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Indirectos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OP 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90.400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OP 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36.800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Trabajo indirecto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9.800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40.000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Total Planilla de Trabajadores Directos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137.000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40.000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1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5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e.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Efectuar la provisión mensual de todos los Beneficios Sociales y Patronales, excepto Fondo de Reserva que está siendo cancelado dentro del Rol de Pagos.   </w:t>
            </w:r>
          </w:p>
        </w:tc>
      </w:tr>
      <w:tr w:rsidR="00DC4271" w:rsidRPr="00DC4271" w:rsidTr="00DC4271">
        <w:trPr>
          <w:trHeight w:val="15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8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En el cálculo del décimo cuarto sueldo considere que son 300 empleados del sector directo (distribuya los costos del décimo cuarto sueldo a la  OP 1 y 2 en proporción a  las horas reales trabajadas en cada una) y 30 empleados del sector indirecto.</w:t>
            </w:r>
          </w:p>
        </w:tc>
      </w:tr>
      <w:tr w:rsidR="00DC4271" w:rsidRPr="00DC4271" w:rsidTr="00DC4271">
        <w:trPr>
          <w:trHeight w:val="1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8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f.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Depreciación mensual  de los siguientes Activos en forma mensual considerando los siguientes costos, y la estimación  de las vidas útiles y valores residuales realizada por la administración:</w:t>
            </w: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Costo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Vida útil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Valor Residual</w:t>
            </w: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Edificio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DC4271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   2.400.000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años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DC4271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        10.000 </w:t>
            </w: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Maquinaria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DC4271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   1.600.000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años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DC4271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        25.000 </w:t>
            </w:r>
          </w:p>
        </w:tc>
      </w:tr>
      <w:tr w:rsidR="00DC4271" w:rsidRPr="00DC4271" w:rsidTr="00DC4271">
        <w:trPr>
          <w:trHeight w:val="15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6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Las instalaciones del Edificio se encuentran repartidas de la siguiente manera: Producción (70%), Administración (10%),  y  Ventas (20%).</w:t>
            </w:r>
          </w:p>
        </w:tc>
      </w:tr>
      <w:tr w:rsidR="00DC4271" w:rsidRPr="00DC4271" w:rsidTr="00DC4271">
        <w:trPr>
          <w:trHeight w:val="1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3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g.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Se canceló la Planilla de luz del sector industrial por USD 35,000 con cheque.</w:t>
            </w:r>
          </w:p>
        </w:tc>
      </w:tr>
      <w:tr w:rsidR="00DC4271" w:rsidRPr="00DC4271" w:rsidTr="00DC4271">
        <w:trPr>
          <w:trHeight w:val="1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6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h.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Se pagó el arriendo mensual del Local Comercial a una persona natural no obligada a llevar Contabilidad por USD 2,000, a través de la emisión de un cheque.</w:t>
            </w:r>
          </w:p>
        </w:tc>
      </w:tr>
      <w:tr w:rsidR="00DC4271" w:rsidRPr="00DC4271" w:rsidTr="00DC4271">
        <w:trPr>
          <w:trHeight w:val="1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3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lastRenderedPageBreak/>
              <w:t>i.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18"/>
                <w:szCs w:val="18"/>
                <w:lang w:eastAsia="es-EC"/>
              </w:rPr>
              <w:t>Se pagó mantenimiento y Reparación de Maquinaria por USD 35,000 a crédito por 40 días.</w:t>
            </w:r>
          </w:p>
        </w:tc>
      </w:tr>
      <w:tr w:rsidR="00DC4271" w:rsidRPr="00DC4271" w:rsidTr="00DC4271">
        <w:trPr>
          <w:trHeight w:val="1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8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j.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18"/>
                <w:szCs w:val="18"/>
                <w:lang w:eastAsia="es-EC"/>
              </w:rPr>
              <w:t>Aplicar los Costos Generales de Fabricación al proceso considerando los siguientes datos.  La empresa emplea una sola tasa, por cuanto distribuye sus costos fijos y variables en función de la capacidad real estimada considerando que la capacidad normal se asemeja a la real.</w:t>
            </w:r>
          </w:p>
        </w:tc>
      </w:tr>
      <w:tr w:rsidR="00DC4271" w:rsidRPr="00DC4271" w:rsidTr="00DC4271">
        <w:trPr>
          <w:trHeight w:val="1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Costos Generales de Fabricación Presupuestados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   1.020.000 </w:t>
            </w: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Horas Presupuestadas anuales.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   1.085.000 </w:t>
            </w:r>
          </w:p>
        </w:tc>
      </w:tr>
      <w:tr w:rsidR="00DC4271" w:rsidRPr="00DC4271" w:rsidTr="00DC4271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7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Horas Reales  consumidas en el mes: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OP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Horas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52.200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25.700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77.900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15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79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k.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La OP 1 está concluida y la OP 2 se encuentra aún en proceso.  Efectuar asiento por la transferencia a unidades terminadas.   A continuación se indican las unidades elaboradas y su estado:</w:t>
            </w: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OP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Producto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Unidades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 xml:space="preserve">Estado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400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Concluida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180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En Proceso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l.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Venta:</w:t>
            </w: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Art.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Unidades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 xml:space="preserve">Precio </w:t>
            </w:r>
            <w:proofErr w:type="spellStart"/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Unit</w:t>
            </w:r>
            <w:proofErr w:type="spellEnd"/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     1.800,00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DC4271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USD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     1.300,00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Se pide: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1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1.-  Asientos Contables (50 Puntos)</w:t>
            </w:r>
          </w:p>
        </w:tc>
      </w:tr>
      <w:tr w:rsidR="00DC4271" w:rsidRPr="00DC4271" w:rsidTr="00DC4271">
        <w:trPr>
          <w:trHeight w:val="1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2.-  </w:t>
            </w:r>
            <w:proofErr w:type="spellStart"/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Kárdex</w:t>
            </w:r>
            <w:proofErr w:type="spellEnd"/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 (2,5 Puntos):</w:t>
            </w: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Material X1   </w:t>
            </w: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proofErr w:type="spellStart"/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Unicamente</w:t>
            </w:r>
            <w:proofErr w:type="spellEnd"/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 Producto A</w:t>
            </w:r>
          </w:p>
        </w:tc>
      </w:tr>
      <w:tr w:rsidR="00DC4271" w:rsidRPr="00DC4271" w:rsidTr="00DC4271">
        <w:trPr>
          <w:trHeight w:val="1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3.-  Hojas de Costos (7,5 Puntos): OP 1 y 2</w:t>
            </w:r>
          </w:p>
        </w:tc>
      </w:tr>
      <w:tr w:rsidR="00DC4271" w:rsidRPr="00DC4271" w:rsidTr="00DC4271">
        <w:trPr>
          <w:trHeight w:val="15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4.-  Estado de Costos de Productos Vendidos (10 Puntos).</w:t>
            </w:r>
          </w:p>
        </w:tc>
      </w:tr>
      <w:tr w:rsidR="00DC4271" w:rsidRPr="00DC4271" w:rsidTr="00DC4271">
        <w:trPr>
          <w:trHeight w:val="1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Se adjunta: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1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271" w:rsidRPr="00DC4271" w:rsidRDefault="00DC4271" w:rsidP="00DC427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Anexo del Formato del </w:t>
            </w:r>
            <w:proofErr w:type="spellStart"/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Kárdex</w:t>
            </w:r>
            <w:proofErr w:type="spellEnd"/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 xml:space="preserve"> para Material X1  y Producto A, y Hoja de Costos OP 1 y 2.</w:t>
            </w:r>
          </w:p>
        </w:tc>
      </w:tr>
      <w:tr w:rsidR="00DC4271" w:rsidRPr="00DC4271" w:rsidTr="00DC4271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C"/>
              </w:rPr>
              <w:t>FIRMA DEL ALUMNO: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15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Presentación al Examen: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Revisión de Nota: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  <w:tr w:rsidR="00DC4271" w:rsidRPr="00DC4271" w:rsidTr="00DC4271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Fecha de Revisión de Nota: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  <w:r w:rsidRPr="00DC4271"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  <w:t>Diciembre ____  del 2011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71" w:rsidRPr="00DC4271" w:rsidRDefault="00DC4271" w:rsidP="00DC427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C"/>
              </w:rPr>
            </w:pPr>
          </w:p>
        </w:tc>
      </w:tr>
    </w:tbl>
    <w:p w:rsidR="00DC4271" w:rsidRDefault="00DC4271"/>
    <w:sectPr w:rsidR="00DC4271" w:rsidSect="00D739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4271"/>
    <w:rsid w:val="00D73920"/>
    <w:rsid w:val="00DC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pramirez</dc:creator>
  <cp:lastModifiedBy>pramirez</cp:lastModifiedBy>
  <cp:revision>1</cp:revision>
  <dcterms:created xsi:type="dcterms:W3CDTF">2012-02-09T20:23:00Z</dcterms:created>
  <dcterms:modified xsi:type="dcterms:W3CDTF">2012-02-09T20:26:00Z</dcterms:modified>
</cp:coreProperties>
</file>