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48"/>
        <w:gridCol w:w="7096"/>
      </w:tblGrid>
      <w:tr w:rsidR="00A52AF2" w:rsidRPr="008166C1" w:rsidTr="003260B7">
        <w:tc>
          <w:tcPr>
            <w:tcW w:w="1548" w:type="dxa"/>
          </w:tcPr>
          <w:p w:rsidR="00A52AF2" w:rsidRPr="008166C1" w:rsidRDefault="00A52AF2" w:rsidP="003260B7">
            <w:pPr>
              <w:pStyle w:val="Encabezado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914400" cy="876300"/>
                  <wp:effectExtent l="19050" t="0" r="0" b="0"/>
                  <wp:wrapNone/>
                  <wp:docPr id="2" name="Imagen 2" descr="LOgo%20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6" w:type="dxa"/>
          </w:tcPr>
          <w:p w:rsidR="00A52AF2" w:rsidRPr="008166C1" w:rsidRDefault="008735B3" w:rsidP="003260B7">
            <w:pPr>
              <w:pStyle w:val="Ttulo"/>
              <w:jc w:val="center"/>
              <w:rPr>
                <w:sz w:val="36"/>
                <w:szCs w:val="36"/>
              </w:rPr>
            </w:pPr>
            <w:r w:rsidRPr="008735B3">
              <w:rPr>
                <w:noProof/>
                <w:sz w:val="32"/>
                <w:szCs w:val="30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1.85pt;margin-top:33.7pt;width:108pt;height:45pt;z-index:251660288;mso-position-horizontal-relative:text;mso-position-vertical-relative:text">
                  <v:imagedata r:id="rId6" o:title=""/>
                </v:shape>
                <o:OLEObject Type="Embed" ProgID="MSPhotoEd.3" ShapeID="_x0000_s1026" DrawAspect="Content" ObjectID="_1408787139" r:id="rId7"/>
              </w:pict>
            </w:r>
            <w:r w:rsidR="00A52AF2">
              <w:rPr>
                <w:sz w:val="44"/>
              </w:rPr>
              <w:t>ESCUELA SUPERIOR POLITÉ</w:t>
            </w:r>
            <w:r w:rsidR="00A52AF2" w:rsidRPr="00B45865">
              <w:rPr>
                <w:sz w:val="44"/>
              </w:rPr>
              <w:t>CNICA DEL LITORAL</w:t>
            </w:r>
          </w:p>
        </w:tc>
      </w:tr>
    </w:tbl>
    <w:p w:rsidR="00A52AF2" w:rsidRPr="00601221" w:rsidRDefault="00223FDE" w:rsidP="00A52AF2">
      <w:pPr>
        <w:pStyle w:val="Ttulo1"/>
        <w:jc w:val="center"/>
      </w:pPr>
      <w:r>
        <w:t xml:space="preserve">Tercer </w:t>
      </w:r>
      <w:r w:rsidR="00A52AF2" w:rsidRPr="00601221">
        <w:t>Examen de Finanzas</w:t>
      </w:r>
    </w:p>
    <w:p w:rsidR="00A52AF2" w:rsidRPr="00154FA0" w:rsidRDefault="00223FDE" w:rsidP="00A52AF2">
      <w:pPr>
        <w:pStyle w:val="Subttulo"/>
        <w:jc w:val="center"/>
        <w:rPr>
          <w:sz w:val="22"/>
        </w:rPr>
      </w:pPr>
      <w:r>
        <w:rPr>
          <w:sz w:val="22"/>
        </w:rPr>
        <w:t>Guayaquil, Septiembre 10 del 2012</w:t>
      </w:r>
    </w:p>
    <w:p w:rsidR="00A52AF2" w:rsidRDefault="00A52AF2" w:rsidP="00A52AF2">
      <w:pPr>
        <w:rPr>
          <w:rFonts w:asciiTheme="minorHAnsi" w:hAnsiTheme="minorHAnsi"/>
        </w:rPr>
      </w:pPr>
    </w:p>
    <w:p w:rsidR="00A52AF2" w:rsidRDefault="00A52AF2" w:rsidP="00A52AF2">
      <w:pPr>
        <w:rPr>
          <w:rFonts w:asciiTheme="minorHAnsi" w:hAnsiTheme="minorHAnsi"/>
        </w:rPr>
      </w:pPr>
    </w:p>
    <w:p w:rsidR="00A52AF2" w:rsidRPr="00B45865" w:rsidRDefault="00A52AF2" w:rsidP="00A52AF2">
      <w:pPr>
        <w:rPr>
          <w:rFonts w:asciiTheme="minorHAnsi" w:hAnsiTheme="minorHAnsi"/>
        </w:rPr>
      </w:pPr>
      <w:r w:rsidRPr="00B45865">
        <w:rPr>
          <w:rFonts w:asciiTheme="minorHAnsi" w:hAnsiTheme="minorHAnsi"/>
        </w:rPr>
        <w:t>NOMBRE: _________________________________________________________________</w:t>
      </w:r>
    </w:p>
    <w:p w:rsidR="00A52AF2" w:rsidRDefault="00A52AF2" w:rsidP="00A52AF2">
      <w:pPr>
        <w:rPr>
          <w:rFonts w:asciiTheme="minorHAnsi" w:hAnsiTheme="minorHAnsi"/>
        </w:rPr>
      </w:pPr>
    </w:p>
    <w:p w:rsidR="00A52AF2" w:rsidRPr="00CF7076" w:rsidRDefault="00223FDE" w:rsidP="00A52AF2">
      <w:pPr>
        <w:pStyle w:val="Ttulo2"/>
      </w:pPr>
      <w:r>
        <w:t>PUNTO DE EQUILIBRIO (3</w:t>
      </w:r>
      <w:r w:rsidR="00A52AF2">
        <w:t>0 puntos)</w:t>
      </w:r>
    </w:p>
    <w:p w:rsidR="00A52AF2" w:rsidRPr="00455193" w:rsidRDefault="00A52AF2" w:rsidP="00A52AF2">
      <w:pPr>
        <w:spacing w:line="276" w:lineRule="auto"/>
        <w:jc w:val="both"/>
        <w:rPr>
          <w:rFonts w:asciiTheme="minorHAnsi" w:hAnsiTheme="minorHAnsi"/>
          <w:sz w:val="22"/>
        </w:rPr>
      </w:pPr>
      <w:r w:rsidRPr="00455193">
        <w:rPr>
          <w:rFonts w:asciiTheme="minorHAnsi" w:hAnsiTheme="minorHAnsi"/>
          <w:sz w:val="22"/>
        </w:rPr>
        <w:t xml:space="preserve">Después de una Investigación de Mercado (IM), el </w:t>
      </w:r>
      <w:proofErr w:type="spellStart"/>
      <w:r w:rsidRPr="00455193">
        <w:rPr>
          <w:rFonts w:asciiTheme="minorHAnsi" w:hAnsiTheme="minorHAnsi"/>
          <w:sz w:val="22"/>
        </w:rPr>
        <w:t>Econ</w:t>
      </w:r>
      <w:proofErr w:type="spellEnd"/>
      <w:r w:rsidRPr="00455193">
        <w:rPr>
          <w:rFonts w:asciiTheme="minorHAnsi" w:hAnsiTheme="minorHAnsi"/>
          <w:sz w:val="22"/>
        </w:rPr>
        <w:t>. Pablo Arosemena descubrió que había suficiente  demanda para bebidas nutricionales en la ciudad de Guayaquil, decidió entonces abrir una cadena de locales, cuyos costos fijos anuales son de $ 24.000,00 para cada local.  Debido a la sensibilidad económica del mercado ecuatoriano, Pablo decide iniciar sólo con 3 bebidas, siendo éstas:</w:t>
      </w:r>
    </w:p>
    <w:p w:rsidR="00A52AF2" w:rsidRPr="00455193" w:rsidRDefault="00A52AF2" w:rsidP="00A52AF2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A52AF2" w:rsidRPr="00455193" w:rsidRDefault="00A52AF2" w:rsidP="00A52AF2">
      <w:pPr>
        <w:pStyle w:val="Prrafodelista"/>
        <w:numPr>
          <w:ilvl w:val="0"/>
          <w:numId w:val="3"/>
        </w:numPr>
        <w:jc w:val="both"/>
      </w:pPr>
      <w:r w:rsidRPr="00455193">
        <w:rPr>
          <w:b/>
        </w:rPr>
        <w:t>Súper bebida</w:t>
      </w:r>
      <w:r w:rsidRPr="00455193">
        <w:t xml:space="preserve"> de soya con durazno y extracto de malta. Según la IM llegará a registrar el 50% de las ventas. Su precio unitario será de $ 3,00 y sus costo variable unitario es de $ 2,00</w:t>
      </w:r>
    </w:p>
    <w:p w:rsidR="00A52AF2" w:rsidRPr="00455193" w:rsidRDefault="00A52AF2" w:rsidP="00A52AF2">
      <w:pPr>
        <w:pStyle w:val="Prrafodelista"/>
        <w:numPr>
          <w:ilvl w:val="0"/>
          <w:numId w:val="3"/>
        </w:numPr>
        <w:jc w:val="both"/>
      </w:pPr>
      <w:r w:rsidRPr="00455193">
        <w:rPr>
          <w:b/>
        </w:rPr>
        <w:t>Ultra jugo</w:t>
      </w:r>
      <w:r w:rsidRPr="00455193">
        <w:t xml:space="preserve"> de </w:t>
      </w:r>
      <w:proofErr w:type="spellStart"/>
      <w:r w:rsidRPr="00455193">
        <w:t>borojó</w:t>
      </w:r>
      <w:proofErr w:type="spellEnd"/>
      <w:r w:rsidRPr="00455193">
        <w:t xml:space="preserve"> con tamarindo y extracto de hierbas aromáticas-medicinales. Será vendido a $ 2,20 y deja un margen de contribución de 1,20 centavos. La IM confirma que éste producto ocupará el 30% de las ventas</w:t>
      </w:r>
    </w:p>
    <w:p w:rsidR="00A52AF2" w:rsidRPr="00455193" w:rsidRDefault="00A52AF2" w:rsidP="00A52AF2">
      <w:pPr>
        <w:pStyle w:val="Prrafodelista"/>
        <w:numPr>
          <w:ilvl w:val="0"/>
          <w:numId w:val="3"/>
        </w:numPr>
        <w:jc w:val="both"/>
      </w:pPr>
      <w:proofErr w:type="spellStart"/>
      <w:r w:rsidRPr="00455193">
        <w:rPr>
          <w:b/>
        </w:rPr>
        <w:t>Hiper</w:t>
      </w:r>
      <w:proofErr w:type="spellEnd"/>
      <w:r w:rsidRPr="00455193">
        <w:rPr>
          <w:b/>
        </w:rPr>
        <w:t xml:space="preserve"> batido</w:t>
      </w:r>
      <w:r w:rsidRPr="00455193">
        <w:t xml:space="preserve"> de 5 cereales con banano y leche </w:t>
      </w:r>
      <w:proofErr w:type="spellStart"/>
      <w:r w:rsidRPr="00455193">
        <w:t>deslactosada</w:t>
      </w:r>
      <w:proofErr w:type="spellEnd"/>
      <w:r w:rsidRPr="00455193">
        <w:t>. Su precio al público será de $ 2,50  dejando el 60% de contribución marginal.</w:t>
      </w:r>
    </w:p>
    <w:p w:rsidR="00A52AF2" w:rsidRPr="00455193" w:rsidRDefault="00A52AF2" w:rsidP="00A52AF2">
      <w:pPr>
        <w:spacing w:line="276" w:lineRule="auto"/>
        <w:jc w:val="both"/>
        <w:rPr>
          <w:rFonts w:asciiTheme="minorHAnsi" w:hAnsiTheme="minorHAnsi"/>
          <w:sz w:val="22"/>
          <w:lang w:val="es-EC"/>
        </w:rPr>
      </w:pPr>
    </w:p>
    <w:p w:rsidR="00A52AF2" w:rsidRPr="00455193" w:rsidRDefault="00A52AF2" w:rsidP="00A52AF2">
      <w:pPr>
        <w:pStyle w:val="Prrafodelista"/>
        <w:numPr>
          <w:ilvl w:val="0"/>
          <w:numId w:val="2"/>
        </w:numPr>
        <w:jc w:val="both"/>
      </w:pPr>
      <w:r w:rsidRPr="00455193">
        <w:t>Calcule el número de unidades que se producen y venden en el punto de equilibrio en cada local. (20 puntos)</w:t>
      </w:r>
    </w:p>
    <w:p w:rsidR="00A52AF2" w:rsidRPr="00455193" w:rsidRDefault="00A52AF2" w:rsidP="00A52AF2">
      <w:pPr>
        <w:pStyle w:val="Prrafodelista"/>
        <w:numPr>
          <w:ilvl w:val="0"/>
          <w:numId w:val="2"/>
        </w:numPr>
        <w:jc w:val="both"/>
      </w:pPr>
      <w:r w:rsidRPr="00455193">
        <w:t>¿Cuánto representa el punto de equilibrio en unidades monetarias (ventas) al mes por cada local? (10 puntos)</w:t>
      </w:r>
    </w:p>
    <w:p w:rsidR="00A52AF2" w:rsidRPr="00455193" w:rsidRDefault="00A52AF2" w:rsidP="00A52AF2">
      <w:pPr>
        <w:pStyle w:val="Prrafodelista"/>
        <w:numPr>
          <w:ilvl w:val="0"/>
          <w:numId w:val="2"/>
        </w:numPr>
        <w:jc w:val="both"/>
      </w:pPr>
      <w:r w:rsidRPr="00455193">
        <w:t>¿Cuál es la contribución marginal total si se deseare una utilidad operacional de $ 2.000,00 al mes? (5 puntos)</w:t>
      </w:r>
    </w:p>
    <w:p w:rsidR="00A52AF2" w:rsidRPr="00455193" w:rsidRDefault="00A52AF2" w:rsidP="00A52AF2">
      <w:pPr>
        <w:pStyle w:val="Prrafodelista"/>
        <w:numPr>
          <w:ilvl w:val="0"/>
          <w:numId w:val="2"/>
        </w:numPr>
        <w:jc w:val="both"/>
      </w:pPr>
      <w:r w:rsidRPr="00455193">
        <w:t>Suponga que sólo se produce y vende la súper bebida.  Obtenga el punto de equilibrio expresado en unidades y en dólares (5 puntos)</w:t>
      </w:r>
    </w:p>
    <w:p w:rsidR="00A52AF2" w:rsidRDefault="00A52AF2" w:rsidP="00A52AF2"/>
    <w:p w:rsidR="00A52AF2" w:rsidRDefault="00A52AF2" w:rsidP="00A52AF2">
      <w:pPr>
        <w:spacing w:after="200" w:line="276" w:lineRule="auto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52AF2" w:rsidRPr="00CF7076" w:rsidRDefault="00A52AF2" w:rsidP="00A52AF2">
      <w:pPr>
        <w:pStyle w:val="Ttulo2"/>
      </w:pPr>
      <w:r w:rsidRPr="00CF7076">
        <w:lastRenderedPageBreak/>
        <w:t>P</w:t>
      </w:r>
      <w:r w:rsidR="00223FDE">
        <w:t>RESUPUESTO DE COMPRAS Y PAGOS (3</w:t>
      </w:r>
      <w:r w:rsidRPr="00CF7076">
        <w:t>0 puntos)</w:t>
      </w:r>
    </w:p>
    <w:p w:rsidR="00223FDE" w:rsidRDefault="00223FDE" w:rsidP="00223FDE">
      <w:pPr>
        <w:jc w:val="both"/>
        <w:rPr>
          <w:rFonts w:asciiTheme="minorHAnsi" w:hAnsiTheme="minorHAnsi"/>
          <w:sz w:val="22"/>
        </w:rPr>
      </w:pPr>
      <w:r w:rsidRPr="00223FDE">
        <w:rPr>
          <w:rFonts w:asciiTheme="minorHAnsi" w:hAnsiTheme="minorHAnsi"/>
          <w:sz w:val="22"/>
        </w:rPr>
        <w:t>Almacenes “La Ganga” planea niveles de inventario (al costo) al final de cada mes como sigue: mayo $ 250.000; junio $ 220.000; julio $ 270.000; agosto $ 240.000.</w:t>
      </w:r>
    </w:p>
    <w:p w:rsidR="00223FDE" w:rsidRPr="00223FDE" w:rsidRDefault="00223FDE" w:rsidP="00223FDE">
      <w:pPr>
        <w:jc w:val="both"/>
        <w:rPr>
          <w:rFonts w:asciiTheme="minorHAnsi" w:hAnsiTheme="minorHAnsi"/>
          <w:sz w:val="22"/>
        </w:rPr>
      </w:pPr>
    </w:p>
    <w:p w:rsidR="00223FDE" w:rsidRPr="00223FDE" w:rsidRDefault="00223FDE" w:rsidP="00223FDE">
      <w:pPr>
        <w:jc w:val="both"/>
        <w:rPr>
          <w:rFonts w:asciiTheme="minorHAnsi" w:hAnsiTheme="minorHAnsi"/>
          <w:sz w:val="22"/>
        </w:rPr>
      </w:pPr>
      <w:r w:rsidRPr="00223FDE">
        <w:rPr>
          <w:rFonts w:asciiTheme="minorHAnsi" w:hAnsiTheme="minorHAnsi"/>
          <w:sz w:val="22"/>
        </w:rPr>
        <w:t>Se espera que las ventas en junio sean de $ 440.000; en julio, $ 350.000; en agosto, $ 400.000.  El costo de ventas representa el 60% de las ventas.</w:t>
      </w:r>
    </w:p>
    <w:p w:rsidR="00223FDE" w:rsidRDefault="00223FDE" w:rsidP="00223FDE">
      <w:pPr>
        <w:jc w:val="both"/>
        <w:rPr>
          <w:rFonts w:asciiTheme="minorHAnsi" w:hAnsiTheme="minorHAnsi"/>
          <w:sz w:val="22"/>
        </w:rPr>
      </w:pPr>
    </w:p>
    <w:p w:rsidR="00223FDE" w:rsidRPr="00223FDE" w:rsidRDefault="00223FDE" w:rsidP="00223FDE">
      <w:pPr>
        <w:jc w:val="both"/>
        <w:rPr>
          <w:rFonts w:asciiTheme="minorHAnsi" w:hAnsiTheme="minorHAnsi"/>
          <w:sz w:val="22"/>
        </w:rPr>
      </w:pPr>
      <w:r w:rsidRPr="00223FDE">
        <w:rPr>
          <w:rFonts w:asciiTheme="minorHAnsi" w:hAnsiTheme="minorHAnsi"/>
          <w:sz w:val="22"/>
        </w:rPr>
        <w:t>Las compras en abril fueron de $ 250.000 y en mayo de $ 180.000. Las compras de un mes dado se pagan como sigue: 10% durante el mes; 80% el mes siguiente; y el 10 % final, el mes posterior.</w:t>
      </w:r>
    </w:p>
    <w:p w:rsidR="00223FDE" w:rsidRDefault="00223FDE" w:rsidP="00223FDE">
      <w:pPr>
        <w:jc w:val="both"/>
        <w:rPr>
          <w:rFonts w:asciiTheme="minorHAnsi" w:hAnsiTheme="minorHAnsi"/>
          <w:sz w:val="22"/>
        </w:rPr>
      </w:pPr>
    </w:p>
    <w:p w:rsidR="00223FDE" w:rsidRPr="00223FDE" w:rsidRDefault="00223FDE" w:rsidP="00223FDE">
      <w:pPr>
        <w:jc w:val="both"/>
        <w:rPr>
          <w:rFonts w:asciiTheme="minorHAnsi" w:hAnsiTheme="minorHAnsi"/>
          <w:sz w:val="22"/>
        </w:rPr>
      </w:pPr>
      <w:r w:rsidRPr="00223FDE">
        <w:rPr>
          <w:rFonts w:asciiTheme="minorHAnsi" w:hAnsiTheme="minorHAnsi"/>
          <w:sz w:val="22"/>
        </w:rPr>
        <w:t>Prepare las cédulas de presupuesto para junio, julio, y agosto para las compras y desembolsos por pagos.</w:t>
      </w:r>
    </w:p>
    <w:p w:rsidR="00223FDE" w:rsidRDefault="00223FDE" w:rsidP="00223FDE">
      <w:pPr>
        <w:jc w:val="both"/>
        <w:rPr>
          <w:rFonts w:asciiTheme="minorHAnsi" w:hAnsiTheme="minorHAnsi"/>
          <w:sz w:val="22"/>
        </w:rPr>
      </w:pPr>
    </w:p>
    <w:p w:rsidR="00223FDE" w:rsidRPr="00223FDE" w:rsidRDefault="00223FDE" w:rsidP="00223FDE">
      <w:pPr>
        <w:jc w:val="both"/>
        <w:rPr>
          <w:rFonts w:asciiTheme="minorHAnsi" w:hAnsiTheme="minorHAnsi"/>
          <w:sz w:val="22"/>
        </w:rPr>
      </w:pPr>
    </w:p>
    <w:p w:rsidR="00D441E4" w:rsidRDefault="00D441E4" w:rsidP="00223FDE">
      <w:pPr>
        <w:pStyle w:val="Ttulo2"/>
      </w:pPr>
    </w:p>
    <w:p w:rsidR="00D441E4" w:rsidRDefault="00D441E4" w:rsidP="00223FDE">
      <w:pPr>
        <w:pStyle w:val="Ttulo2"/>
      </w:pPr>
    </w:p>
    <w:p w:rsidR="00D441E4" w:rsidRDefault="00D441E4" w:rsidP="00223FDE">
      <w:pPr>
        <w:pStyle w:val="Ttulo2"/>
      </w:pPr>
    </w:p>
    <w:p w:rsidR="00D441E4" w:rsidRDefault="00D441E4" w:rsidP="00223FDE">
      <w:pPr>
        <w:pStyle w:val="Ttulo2"/>
      </w:pPr>
    </w:p>
    <w:p w:rsidR="00D441E4" w:rsidRDefault="00D441E4" w:rsidP="00223FDE">
      <w:pPr>
        <w:pStyle w:val="Ttulo2"/>
      </w:pPr>
    </w:p>
    <w:p w:rsidR="00223FDE" w:rsidRDefault="00223FDE" w:rsidP="00223FDE">
      <w:pPr>
        <w:pStyle w:val="Ttulo2"/>
      </w:pPr>
      <w:r>
        <w:t>CONSTRUCCIÓN DE ESTADOS FINANCIEROS (20 puntos)</w:t>
      </w: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 xml:space="preserve">Se han tomado los siguientes datos a partir de los estados financieros de </w:t>
      </w:r>
      <w:proofErr w:type="spellStart"/>
      <w:r w:rsidR="007A4F75">
        <w:rPr>
          <w:rFonts w:asciiTheme="minorHAnsi" w:hAnsiTheme="minorHAnsi" w:cstheme="minorHAnsi"/>
          <w:lang w:val="es-EC" w:eastAsia="en-US"/>
        </w:rPr>
        <w:t>Scarlet</w:t>
      </w:r>
      <w:proofErr w:type="spellEnd"/>
      <w:r w:rsidR="007A4F75">
        <w:rPr>
          <w:rFonts w:asciiTheme="minorHAnsi" w:hAnsiTheme="minorHAnsi" w:cstheme="minorHAnsi"/>
          <w:lang w:val="es-EC" w:eastAsia="en-US"/>
        </w:rPr>
        <w:t xml:space="preserve"> Johansson</w:t>
      </w:r>
      <w:r>
        <w:rPr>
          <w:rFonts w:asciiTheme="minorHAnsi" w:hAnsiTheme="minorHAnsi" w:cstheme="minorHAnsi"/>
          <w:lang w:val="es-EC" w:eastAsia="en-US"/>
        </w:rPr>
        <w:t xml:space="preserve"> </w:t>
      </w:r>
      <w:proofErr w:type="spellStart"/>
      <w:r>
        <w:rPr>
          <w:rFonts w:asciiTheme="minorHAnsi" w:hAnsiTheme="minorHAnsi" w:cstheme="minorHAnsi"/>
          <w:lang w:val="es-EC" w:eastAsia="en-US"/>
        </w:rPr>
        <w:t>Company</w:t>
      </w:r>
      <w:proofErr w:type="spellEnd"/>
      <w:r>
        <w:rPr>
          <w:rFonts w:asciiTheme="minorHAnsi" w:hAnsiTheme="minorHAnsi" w:cstheme="minorHAnsi"/>
          <w:lang w:val="es-EC" w:eastAsia="en-US"/>
        </w:rPr>
        <w:t>. La empresa manufactura toda una gama de artículos cosméticos. La ventas (todas ellas a crédito fueron de $ 50 millones para el año 201</w:t>
      </w:r>
      <w:r w:rsidR="007A4F75">
        <w:rPr>
          <w:rFonts w:asciiTheme="minorHAnsi" w:hAnsiTheme="minorHAnsi" w:cstheme="minorHAnsi"/>
          <w:lang w:val="es-EC" w:eastAsia="en-US"/>
        </w:rPr>
        <w:t>1</w:t>
      </w:r>
      <w:r>
        <w:rPr>
          <w:rFonts w:asciiTheme="minorHAnsi" w:hAnsiTheme="minorHAnsi" w:cstheme="minorHAnsi"/>
          <w:lang w:val="es-EC" w:eastAsia="en-US"/>
        </w:rPr>
        <w:t>)</w:t>
      </w: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Ventas a activos totales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2.5 veces</w:t>
      </w: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Deuda total a activos totales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35%</w:t>
      </w: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Razón circulante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2</w:t>
      </w: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Rotación del inventario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11 veces</w:t>
      </w: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Periodo promedio de cobranza</w:t>
      </w:r>
      <w:r>
        <w:rPr>
          <w:rFonts w:asciiTheme="minorHAnsi" w:hAnsiTheme="minorHAnsi" w:cstheme="minorHAnsi"/>
          <w:lang w:val="es-EC" w:eastAsia="en-US"/>
        </w:rPr>
        <w:tab/>
        <w:t>1 mes</w:t>
      </w: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Rotación de activos fijos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8 veces</w:t>
      </w: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</w:p>
    <w:p w:rsidR="00223FDE" w:rsidRDefault="00223FDE" w:rsidP="00223FDE">
      <w:pPr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ELABORE EL SIGUIENTE ESTADO DE SITUACIÓN FINANCIERA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  <w:sectPr w:rsidR="00223FDE" w:rsidSect="00A606AF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lastRenderedPageBreak/>
        <w:t>Efectivo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Cuentas por Cobrar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Inventarios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 w:rsidRPr="001D426B">
        <w:rPr>
          <w:rFonts w:asciiTheme="minorHAnsi" w:hAnsiTheme="minorHAnsi" w:cstheme="minorHAnsi"/>
          <w:i/>
          <w:lang w:val="es-EC" w:eastAsia="en-US"/>
        </w:rPr>
        <w:t xml:space="preserve">  Total Activos Corrientes</w:t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Activos Fijos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 xml:space="preserve">  TOTAL ACTIVOS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lastRenderedPageBreak/>
        <w:t>Pasivo Circulante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 xml:space="preserve">Pasivo a Largo Plazo 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 xml:space="preserve">  </w:t>
      </w:r>
      <w:r w:rsidRPr="001D426B">
        <w:rPr>
          <w:rFonts w:asciiTheme="minorHAnsi" w:hAnsiTheme="minorHAnsi" w:cstheme="minorHAnsi"/>
          <w:i/>
          <w:lang w:val="es-EC" w:eastAsia="en-US"/>
        </w:rPr>
        <w:t>Total Pasivos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Capital Contable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 w:rsidP="00223FDE">
      <w:pPr>
        <w:spacing w:line="360" w:lineRule="auto"/>
        <w:jc w:val="both"/>
        <w:rPr>
          <w:rFonts w:asciiTheme="minorHAnsi" w:hAnsiTheme="minorHAnsi" w:cstheme="minorHAnsi"/>
          <w:lang w:val="es-EC" w:eastAsia="en-US"/>
        </w:rPr>
      </w:pPr>
      <w:r>
        <w:rPr>
          <w:rFonts w:asciiTheme="minorHAnsi" w:hAnsiTheme="minorHAnsi" w:cstheme="minorHAnsi"/>
          <w:lang w:val="es-EC" w:eastAsia="en-US"/>
        </w:rPr>
        <w:t>TOTAL PASIVO +</w:t>
      </w:r>
    </w:p>
    <w:p w:rsidR="00223FDE" w:rsidRPr="005435FD" w:rsidRDefault="00223FDE" w:rsidP="00223FDE">
      <w:pPr>
        <w:spacing w:line="360" w:lineRule="auto"/>
        <w:jc w:val="both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lang w:val="es-EC" w:eastAsia="en-US"/>
        </w:rPr>
        <w:t xml:space="preserve"> PATRIMONIO</w:t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</w:r>
      <w:r>
        <w:rPr>
          <w:rFonts w:asciiTheme="minorHAnsi" w:hAnsiTheme="minorHAnsi" w:cstheme="minorHAnsi"/>
          <w:lang w:val="es-EC" w:eastAsia="en-US"/>
        </w:rPr>
        <w:tab/>
        <w:t>______</w:t>
      </w:r>
    </w:p>
    <w:p w:rsidR="00223FDE" w:rsidRDefault="00223FDE">
      <w:pPr>
        <w:sectPr w:rsidR="00223FDE" w:rsidSect="00223FDE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:rsidR="00D441E4" w:rsidRDefault="00D441E4" w:rsidP="00D441E4">
      <w:pPr>
        <w:pStyle w:val="Ttulo2"/>
      </w:pPr>
      <w:r>
        <w:lastRenderedPageBreak/>
        <w:t>PREGUNTAS DE TEORÍA (20 puntos)</w:t>
      </w:r>
    </w:p>
    <w:p w:rsidR="00D441E4" w:rsidRDefault="00D441E4" w:rsidP="00D441E4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UNA DE LAS SIGUIENTES ASEVERACIONES ES INCORRECTA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Apalancamiento es el dinero que realmente pertenece a terceros (proveedores, instituciones crediticias, etc.) pero que emplea la empresa para “mover” sus operaciones hasta que llega el momento de cancelarlos.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Es conveniente apalancar activos de corto plazo con pasivos de corto plazo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Es conveniente financiar  activos de largo plazo con deuda de largo plazo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Es conveniente financiar activos de largo plazo con pasivos corrientes.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 y B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 y D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Todas las anteriores</w:t>
      </w: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UNA DE LAS SIGUIENTES ASEVERACIONES ES CORRECTA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 punto de equilibrio es una herramienta que deben conocer tanto los inversionistas como a los </w:t>
      </w:r>
      <w:proofErr w:type="spellStart"/>
      <w:r>
        <w:rPr>
          <w:rFonts w:cstheme="minorHAnsi"/>
        </w:rPr>
        <w:t>stakeholders</w:t>
      </w:r>
      <w:proofErr w:type="spellEnd"/>
      <w:r>
        <w:rPr>
          <w:rFonts w:cstheme="minorHAnsi"/>
        </w:rPr>
        <w:t xml:space="preserve"> y el Estado.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 presupuesto maestro está conformado sólo por las cédulas de ingresos, pago, gastos y flujo de caja proyectado.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La depreciación obligadamente se la debe incluir en los pagos operacionales ya que se debe considerar el desgaste de los activos tangibles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Los costos fijos son </w:t>
      </w:r>
      <w:proofErr w:type="spellStart"/>
      <w:r>
        <w:rPr>
          <w:rFonts w:cstheme="minorHAnsi"/>
        </w:rPr>
        <w:t>indistribuibles</w:t>
      </w:r>
      <w:proofErr w:type="spellEnd"/>
      <w:r>
        <w:rPr>
          <w:rFonts w:cstheme="minorHAnsi"/>
        </w:rPr>
        <w:t>, por eso se pondera la contribución marginal cuando existen de 2 a 5 líneas de productos o servicios.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Todas las anteriores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Ninguna de las anteriores</w:t>
      </w: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Elabore un esquema de las formas de financiamiento a partir de la estructura del Estado de Situación Financiera.</w:t>
      </w:r>
    </w:p>
    <w:p w:rsidR="00D441E4" w:rsidRDefault="00D441E4" w:rsidP="00D441E4">
      <w:pPr>
        <w:rPr>
          <w:rFonts w:asciiTheme="minorHAnsi" w:hAnsiTheme="minorHAnsi" w:cstheme="minorHAnsi"/>
          <w:sz w:val="22"/>
          <w:lang w:val="es-EC" w:eastAsia="en-US"/>
        </w:rPr>
      </w:pP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UNA DE LAS SIGUIENTES ASEVERACIONES ES CORRECTA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 riesgo de una inversión disminuye a medida que aumenta el rendimiento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 riesgo de una inversión aumenta a medida que aumenta el rendimiento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 Capital Real o Económico se refiere a la inversión en Instalaciones y Equipos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 y B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 y C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 y C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Ninguna de las anteriores</w:t>
      </w:r>
    </w:p>
    <w:p w:rsidR="00D441E4" w:rsidRDefault="00D441E4" w:rsidP="00D441E4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Todas las anteriores</w:t>
      </w: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Default="00D441E4" w:rsidP="00D441E4">
      <w:pPr>
        <w:pStyle w:val="Prrafodelista"/>
        <w:ind w:left="1440"/>
        <w:rPr>
          <w:rFonts w:cstheme="minorHAnsi"/>
        </w:rPr>
      </w:pPr>
    </w:p>
    <w:p w:rsidR="00D441E4" w:rsidRPr="00E95631" w:rsidRDefault="00D441E4" w:rsidP="00D441E4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ENUMERE CUÁLES SON LAS PRINCIPALES ACTIVIDADES DENTRO DE LA ESTRUCTURA DEL ESTADO DE FLUJO DE EFECTIVO.</w:t>
      </w:r>
    </w:p>
    <w:p w:rsidR="00A606AF" w:rsidRPr="00D441E4" w:rsidRDefault="00A606AF">
      <w:pPr>
        <w:rPr>
          <w:lang w:val="es-EC"/>
        </w:rPr>
      </w:pPr>
    </w:p>
    <w:sectPr w:rsidR="00A606AF" w:rsidRPr="00D441E4" w:rsidSect="00223FDE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C98"/>
    <w:multiLevelType w:val="hybridMultilevel"/>
    <w:tmpl w:val="B4A0CD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74F0"/>
    <w:multiLevelType w:val="hybridMultilevel"/>
    <w:tmpl w:val="C6681CB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46D0"/>
    <w:multiLevelType w:val="hybridMultilevel"/>
    <w:tmpl w:val="150A9C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452AE"/>
    <w:multiLevelType w:val="hybridMultilevel"/>
    <w:tmpl w:val="5AFCCF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AF2"/>
    <w:rsid w:val="00223FDE"/>
    <w:rsid w:val="002830A4"/>
    <w:rsid w:val="002C0784"/>
    <w:rsid w:val="00754627"/>
    <w:rsid w:val="007A4F75"/>
    <w:rsid w:val="008735B3"/>
    <w:rsid w:val="0096310D"/>
    <w:rsid w:val="00A52AF2"/>
    <w:rsid w:val="00A606AF"/>
    <w:rsid w:val="00CF561A"/>
    <w:rsid w:val="00D441E4"/>
    <w:rsid w:val="00D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2A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5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rsid w:val="00A52A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52A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52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2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A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52A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52AF2"/>
    <w:pPr>
      <w:spacing w:after="200" w:line="276" w:lineRule="auto"/>
      <w:ind w:left="720" w:hanging="284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4</cp:revision>
  <dcterms:created xsi:type="dcterms:W3CDTF">2012-09-10T15:56:00Z</dcterms:created>
  <dcterms:modified xsi:type="dcterms:W3CDTF">2012-09-10T17:59:00Z</dcterms:modified>
</cp:coreProperties>
</file>