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00"/>
        <w:gridCol w:w="105"/>
        <w:gridCol w:w="124"/>
        <w:gridCol w:w="1451"/>
        <w:gridCol w:w="245"/>
        <w:gridCol w:w="892"/>
        <w:gridCol w:w="343"/>
        <w:gridCol w:w="261"/>
        <w:gridCol w:w="599"/>
        <w:gridCol w:w="33"/>
        <w:gridCol w:w="244"/>
        <w:gridCol w:w="476"/>
        <w:gridCol w:w="847"/>
        <w:gridCol w:w="293"/>
        <w:gridCol w:w="195"/>
        <w:gridCol w:w="212"/>
        <w:gridCol w:w="309"/>
        <w:gridCol w:w="66"/>
        <w:gridCol w:w="1165"/>
        <w:gridCol w:w="121"/>
        <w:gridCol w:w="822"/>
      </w:tblGrid>
      <w:tr w:rsidR="006C26F3" w:rsidRPr="006C26F3" w:rsidTr="006C26F3">
        <w:trPr>
          <w:trHeight w:val="300"/>
        </w:trPr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</w:p>
        </w:tc>
      </w:tr>
      <w:tr w:rsidR="006C26F3" w:rsidRPr="006C26F3" w:rsidTr="006C26F3">
        <w:trPr>
          <w:trHeight w:val="300"/>
        </w:trPr>
        <w:tc>
          <w:tcPr>
            <w:tcW w:w="93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</w:tr>
      <w:tr w:rsidR="006C26F3" w:rsidRPr="006C26F3" w:rsidTr="006C26F3">
        <w:trPr>
          <w:trHeight w:val="300"/>
        </w:trPr>
        <w:tc>
          <w:tcPr>
            <w:tcW w:w="93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21" w:rsidRDefault="009C1221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lang w:eastAsia="es-EC"/>
              </w:rPr>
              <w:drawing>
                <wp:inline distT="0" distB="0" distL="0" distR="0">
                  <wp:extent cx="5572760" cy="974725"/>
                  <wp:effectExtent l="19050" t="0" r="889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760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6F3" w:rsidRDefault="006C26F3" w:rsidP="006C26F3">
            <w:pPr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COMPROMISO DE HONOR</w:t>
            </w:r>
          </w:p>
          <w:p w:rsidR="006C26F3" w:rsidRDefault="006C26F3" w:rsidP="006C26F3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Yo, ………………………………………..............................................…..…………………............… ............al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  <w:r>
              <w:rPr>
                <w:rFonts w:ascii="Calibri" w:hAnsi="Calibri" w:cs="Arial"/>
                <w:color w:val="000000"/>
              </w:rPr>
              <w:br/>
              <w:t>Firmo al pie del presente compromiso, como constancia de haber leído y aceptar la declaración anterior.</w:t>
            </w:r>
          </w:p>
          <w:p w:rsidR="006C26F3" w:rsidRDefault="006C26F3" w:rsidP="006C26F3">
            <w:pPr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br/>
              <w:t xml:space="preserve">           FIRMA                               NÚMERO DE MATRÍCULA: ………….……. PARALELO:  </w:t>
            </w:r>
          </w:p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7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s-EC"/>
              </w:rPr>
              <w:t>1.-</w:t>
            </w:r>
          </w:p>
        </w:tc>
        <w:tc>
          <w:tcPr>
            <w:tcW w:w="78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s-EC"/>
              </w:rPr>
              <w:t>MUESTREO DE MEDIA POR UNIDAD (25 PUNTOS)</w:t>
            </w:r>
          </w:p>
        </w:tc>
      </w:tr>
      <w:tr w:rsidR="006C26F3" w:rsidRPr="006C26F3" w:rsidTr="006C26F3">
        <w:trPr>
          <w:gridAfter w:val="1"/>
          <w:wAfter w:w="822" w:type="dxa"/>
          <w:trHeight w:val="2850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78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Mediante el muestreo de media por unidad los auditores quieren evaluar la razonabilidad del valor en libros de las cuentas por cobrar de La compañía  </w:t>
            </w:r>
            <w:proofErr w:type="spellStart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Perfepol</w:t>
            </w:r>
            <w:proofErr w:type="spellEnd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 S.A.  Esta compañía tiene 12,000 cuentas por cobrar con un valor total en libros de $1’470,000. Estiman que la desviación estándar de la población es $30. Tras examinar el plan global de auditoría, creen que el error tolerable de la cuenta es $94,000 y que un riesgo de rechazo incorrecto del 5% y un riesgo de aceptación incorrecta del 1% son adecuados. Suponga que los resultados observados indican que el valor auditado promedio es de $165 y la desviación estándar de la muestra es $28.</w:t>
            </w: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Se pide calcular: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a)     </w:t>
            </w:r>
          </w:p>
        </w:tc>
        <w:tc>
          <w:tcPr>
            <w:tcW w:w="78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El tamaño requerido de la muestra:</w:t>
            </w: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 xml:space="preserve">b)     </w:t>
            </w:r>
          </w:p>
        </w:tc>
        <w:tc>
          <w:tcPr>
            <w:tcW w:w="78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El error proyectado de la población</w:t>
            </w: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c)     </w:t>
            </w:r>
          </w:p>
        </w:tc>
        <w:tc>
          <w:tcPr>
            <w:tcW w:w="78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La provisión ajustada del riesgo de muestreo</w:t>
            </w: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d)</w:t>
            </w:r>
          </w:p>
        </w:tc>
        <w:tc>
          <w:tcPr>
            <w:tcW w:w="78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El intervalo de aceptación</w:t>
            </w: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00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e)</w:t>
            </w:r>
          </w:p>
        </w:tc>
        <w:tc>
          <w:tcPr>
            <w:tcW w:w="78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  Indique la conclusión de los Auditores en este caso</w:t>
            </w:r>
          </w:p>
        </w:tc>
      </w:tr>
      <w:tr w:rsidR="006C26F3" w:rsidRPr="006C26F3" w:rsidTr="006C26F3">
        <w:trPr>
          <w:gridAfter w:val="1"/>
          <w:wAfter w:w="822" w:type="dxa"/>
          <w:trHeight w:val="300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00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00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00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00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1"/>
          <w:wAfter w:w="822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2"/>
          <w:wAfter w:w="943" w:type="dxa"/>
          <w:trHeight w:val="6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2.-</w:t>
            </w:r>
          </w:p>
        </w:tc>
        <w:tc>
          <w:tcPr>
            <w:tcW w:w="78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EVALUACIÓN DE CONTROL INTERNO EN EL RUBRO DE INVENTARIOS (30 PUNTOS)</w:t>
            </w:r>
          </w:p>
        </w:tc>
      </w:tr>
      <w:tr w:rsidR="006C26F3" w:rsidRPr="006C26F3" w:rsidTr="006C26F3">
        <w:trPr>
          <w:gridAfter w:val="2"/>
          <w:wAfter w:w="943" w:type="dxa"/>
          <w:trHeight w:val="9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78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Lo contrató la Gerencia de Alegría </w:t>
            </w:r>
            <w:proofErr w:type="spellStart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Incorporated</w:t>
            </w:r>
            <w:proofErr w:type="spellEnd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 para que revise los controles de compra, recepción, almacenamiento y envío de materias primas. Preparó los siguientes comentarios sobre los procedimientos de la compañía.</w:t>
            </w:r>
          </w:p>
        </w:tc>
      </w:tr>
      <w:tr w:rsidR="006C26F3" w:rsidRPr="006C26F3" w:rsidTr="006C26F3">
        <w:trPr>
          <w:gridAfter w:val="2"/>
          <w:wAfter w:w="943" w:type="dxa"/>
          <w:trHeight w:val="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2"/>
          <w:wAfter w:w="943" w:type="dxa"/>
          <w:trHeight w:val="19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lastRenderedPageBreak/>
              <w:t>1)</w:t>
            </w:r>
          </w:p>
        </w:tc>
        <w:tc>
          <w:tcPr>
            <w:tcW w:w="78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Las materias primas, que constan principalmente de componentes electrónicos caros, se conservan en una bodega cerrada bajo llave. El personal de ella lo integran un Supervisor y cuatro subordinados. Están bien capacitados, son competentes y cuentan con una fianza adecuada.  Las materias primas son removidas de la Bodega únicamente con la autorización escrita u oral de uno de los Supervisores de Producción.</w:t>
            </w:r>
          </w:p>
        </w:tc>
      </w:tr>
      <w:tr w:rsidR="006C26F3" w:rsidRPr="006C26F3" w:rsidTr="006C26F3">
        <w:trPr>
          <w:gridAfter w:val="2"/>
          <w:wAfter w:w="943" w:type="dxa"/>
          <w:trHeight w:val="1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2"/>
          <w:wAfter w:w="943" w:type="dxa"/>
          <w:trHeight w:val="12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2)</w:t>
            </w:r>
          </w:p>
        </w:tc>
        <w:tc>
          <w:tcPr>
            <w:tcW w:w="78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No hay registros de inventario perpetuo: por tanto, los almacenistas no llevan registro de los productos recibidos o enviados. Para compensar esa deficiencia cuentan manualmente el inventario físico, bajo una estricta supervisión.  Y al hacerlo siguen los procedimientos correctos.</w:t>
            </w:r>
          </w:p>
        </w:tc>
      </w:tr>
      <w:tr w:rsidR="006C26F3" w:rsidRPr="006C26F3" w:rsidTr="006C26F3">
        <w:trPr>
          <w:gridAfter w:val="2"/>
          <w:wAfter w:w="943" w:type="dxa"/>
          <w:trHeight w:val="1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2"/>
          <w:wAfter w:w="943" w:type="dxa"/>
          <w:trHeight w:val="19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3)</w:t>
            </w:r>
          </w:p>
        </w:tc>
        <w:tc>
          <w:tcPr>
            <w:tcW w:w="78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Concluido el conteo físico, el Supervisor compara las cantidades con el nivel preestablecido de </w:t>
            </w:r>
            <w:proofErr w:type="spellStart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reorden</w:t>
            </w:r>
            <w:proofErr w:type="spellEnd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.  Si el conteo de una parte está por debajo del nivel, anota el número de la parte en una lista de requisición de materiales y la envía al Encargado de Cuentas por Pagar.  Éste a SU vez prepara una Orden de Compra de una cantidad preestablecida de </w:t>
            </w:r>
            <w:proofErr w:type="spellStart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reorden</w:t>
            </w:r>
            <w:proofErr w:type="spellEnd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 para las partes y la envía al proveedor a quién se le compró la última vez.</w:t>
            </w:r>
          </w:p>
        </w:tc>
      </w:tr>
      <w:tr w:rsidR="006C26F3" w:rsidRPr="006C26F3" w:rsidTr="006C26F3">
        <w:trPr>
          <w:gridAfter w:val="2"/>
          <w:wAfter w:w="943" w:type="dxa"/>
          <w:trHeight w:val="1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2"/>
          <w:wAfter w:w="943" w:type="dxa"/>
          <w:trHeight w:val="12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4)</w:t>
            </w:r>
          </w:p>
        </w:tc>
        <w:tc>
          <w:tcPr>
            <w:tcW w:w="78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Cuando los materiales llegan a </w:t>
            </w:r>
            <w:proofErr w:type="spellStart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Alden</w:t>
            </w:r>
            <w:proofErr w:type="spellEnd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, los reciben los almacenistas.  Cuentan la mercancía e  incluyen los conteos en el conocimiento de embarque del transportista. Todas estas notas se inicializan, se fechan y se archivan en la bodega como informes de recepción. </w:t>
            </w:r>
          </w:p>
        </w:tc>
      </w:tr>
      <w:tr w:rsidR="006C26F3" w:rsidRPr="006C26F3" w:rsidTr="006C26F3">
        <w:trPr>
          <w:gridAfter w:val="2"/>
          <w:wAfter w:w="943" w:type="dxa"/>
          <w:trHeight w:val="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2"/>
          <w:wAfter w:w="943" w:type="dxa"/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78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Se pide:</w:t>
            </w: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br/>
            </w: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br/>
              <w:t xml:space="preserve">  </w:t>
            </w:r>
          </w:p>
        </w:tc>
      </w:tr>
      <w:tr w:rsidR="006C26F3" w:rsidRPr="006C26F3" w:rsidTr="006C26F3">
        <w:trPr>
          <w:gridAfter w:val="2"/>
          <w:wAfter w:w="943" w:type="dxa"/>
          <w:trHeight w:val="9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78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Describa las debilidades del control interno y recomiende mejoras u los procedimientos de </w:t>
            </w:r>
            <w:proofErr w:type="spellStart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Alden</w:t>
            </w:r>
            <w:proofErr w:type="spellEnd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 para comprar, recibir, almacenar y enviar materias  primas. Organice su hoja de respuestas así:</w:t>
            </w:r>
          </w:p>
        </w:tc>
      </w:tr>
      <w:tr w:rsidR="006C26F3" w:rsidRPr="006C26F3" w:rsidTr="006C26F3">
        <w:trPr>
          <w:gridAfter w:val="2"/>
          <w:wAfter w:w="943" w:type="dxa"/>
          <w:trHeight w:val="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gridAfter w:val="2"/>
          <w:wAfter w:w="943" w:type="dxa"/>
          <w:trHeight w:val="5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0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EC"/>
              </w:rPr>
              <w:t>Debilidad</w:t>
            </w:r>
          </w:p>
        </w:tc>
        <w:tc>
          <w:tcPr>
            <w:tcW w:w="3840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EC"/>
              </w:rPr>
              <w:t>Mejoras recomendadas</w:t>
            </w:r>
          </w:p>
        </w:tc>
      </w:tr>
      <w:tr w:rsidR="006C26F3" w:rsidRPr="006C26F3" w:rsidTr="006C26F3">
        <w:trPr>
          <w:gridAfter w:val="2"/>
          <w:wAfter w:w="943" w:type="dxa"/>
          <w:trHeight w:val="24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3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</w:tr>
      <w:tr w:rsidR="006C26F3" w:rsidRPr="006C26F3" w:rsidTr="006C26F3">
        <w:trPr>
          <w:gridAfter w:val="2"/>
          <w:wAfter w:w="943" w:type="dxa"/>
          <w:trHeight w:val="25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3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</w:tr>
      <w:tr w:rsidR="006C26F3" w:rsidRPr="006C26F3" w:rsidTr="006C26F3">
        <w:trPr>
          <w:gridAfter w:val="2"/>
          <w:wAfter w:w="943" w:type="dxa"/>
          <w:trHeight w:val="40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3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</w:tr>
      <w:tr w:rsidR="006C26F3" w:rsidRPr="006C26F3" w:rsidTr="006C26F3">
        <w:trPr>
          <w:gridAfter w:val="2"/>
          <w:wAfter w:w="943" w:type="dxa"/>
          <w:trHeight w:val="25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3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</w:tr>
    </w:tbl>
    <w:p w:rsidR="005C53A2" w:rsidRDefault="005C53A2"/>
    <w:p w:rsidR="006C26F3" w:rsidRDefault="006C26F3"/>
    <w:tbl>
      <w:tblPr>
        <w:tblW w:w="908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00"/>
        <w:gridCol w:w="2335"/>
        <w:gridCol w:w="1674"/>
        <w:gridCol w:w="603"/>
        <w:gridCol w:w="1753"/>
        <w:gridCol w:w="195"/>
        <w:gridCol w:w="2021"/>
      </w:tblGrid>
      <w:tr w:rsidR="006C26F3" w:rsidRPr="006C26F3" w:rsidTr="006C26F3">
        <w:trPr>
          <w:trHeight w:val="6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3.-</w:t>
            </w:r>
          </w:p>
        </w:tc>
        <w:tc>
          <w:tcPr>
            <w:tcW w:w="8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PAPELES DE TRABAJO Y PROCEDIMIENTOS DE AUDITORÍA EN CUENTAS POR COBRAR (45 PUNTOS)</w:t>
            </w:r>
          </w:p>
        </w:tc>
      </w:tr>
      <w:tr w:rsidR="006C26F3" w:rsidRPr="006C26F3" w:rsidTr="006C26F3">
        <w:trPr>
          <w:trHeight w:val="6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8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>Completar los siguientes Papeles de Trabajo en una Auditoría de Cuentas por Cobrar e identificarlos con los índices detallados: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Cédula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Índice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Sumaria (Detalle de Saldos Contables):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B-1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Detalle por Clientes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B-2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Análisis de confirmaciones recibidas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B-4</w:t>
            </w:r>
          </w:p>
        </w:tc>
      </w:tr>
      <w:tr w:rsidR="006C26F3" w:rsidRPr="006C26F3" w:rsidTr="006C26F3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Procedimientos alternativos  - Confirmaciones no contestadas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B-6</w:t>
            </w:r>
          </w:p>
        </w:tc>
      </w:tr>
      <w:tr w:rsidR="006C26F3" w:rsidRPr="006C26F3" w:rsidTr="006C26F3">
        <w:trPr>
          <w:trHeight w:val="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Evidenciar los procedimientos de auditoría con: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Marcas de revisión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Literales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8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Referencias cruzadas  por la información que coincida en ambas cédulas.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Datos adicionales para el desarrollo del ejercicio: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6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8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Se han </w:t>
            </w:r>
            <w:proofErr w:type="spellStart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circularizado</w:t>
            </w:r>
            <w:proofErr w:type="spellEnd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 con fecha 31/12/20X1los clientes con saldo superior a 1,25 millones. El resultado de la </w:t>
            </w:r>
            <w:proofErr w:type="spellStart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circularización</w:t>
            </w:r>
            <w:proofErr w:type="spellEnd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 ha sido el siguiente:</w:t>
            </w:r>
          </w:p>
        </w:tc>
      </w:tr>
      <w:tr w:rsidR="006C26F3" w:rsidRPr="006C26F3" w:rsidTr="006C26F3">
        <w:trPr>
          <w:trHeight w:val="9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8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Hemos recibido respuesta de los clientes números 2, 8 y 9; para los restantes clientes </w:t>
            </w:r>
            <w:proofErr w:type="spellStart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circularizados</w:t>
            </w:r>
            <w:proofErr w:type="spellEnd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 hemos realizado procedimientos alternativos a la </w:t>
            </w:r>
            <w:proofErr w:type="spellStart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circularización</w:t>
            </w:r>
            <w:proofErr w:type="spellEnd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 comprobando el saldo con cobros posteriores.   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8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La respuesta del cliente número 2 y 8 ha sido conforme.</w:t>
            </w:r>
          </w:p>
        </w:tc>
      </w:tr>
      <w:tr w:rsidR="006C26F3" w:rsidRPr="006C26F3" w:rsidTr="006C26F3">
        <w:trPr>
          <w:trHeight w:val="6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8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La respuesta del cliente número 9 menciona que el saldo según sus libros es  USD 2'043.750, y  hace dos comentarios:</w:t>
            </w:r>
          </w:p>
        </w:tc>
      </w:tr>
      <w:tr w:rsidR="006C26F3" w:rsidRPr="006C26F3" w:rsidTr="006C26F3">
        <w:trPr>
          <w:trHeight w:val="9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8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La factura núm. 485, de fecha 31/12/20X1 e importe $  143.750 ($ 129.504,51 subtotal </w:t>
            </w:r>
            <w:proofErr w:type="spellStart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Fact</w:t>
            </w:r>
            <w:proofErr w:type="spellEnd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 + IVA 12% menos </w:t>
            </w:r>
            <w:proofErr w:type="spellStart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Ret</w:t>
            </w:r>
            <w:proofErr w:type="spellEnd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. </w:t>
            </w:r>
            <w:proofErr w:type="spellStart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Fte</w:t>
            </w:r>
            <w:proofErr w:type="spellEnd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. 1%), no está conforme, pues recibió la mercancía el día 06/01/20X2.</w:t>
            </w:r>
          </w:p>
        </w:tc>
      </w:tr>
      <w:tr w:rsidR="006C26F3" w:rsidRPr="006C26F3" w:rsidTr="006C26F3">
        <w:trPr>
          <w:trHeight w:val="10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8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La factura núm. 222, de fecha 20/11/20X1 por importe de $ 312.500 (281.531,53 subtotal factura + IVA 12% menos </w:t>
            </w:r>
            <w:proofErr w:type="spellStart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Ret</w:t>
            </w:r>
            <w:proofErr w:type="spellEnd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. </w:t>
            </w:r>
            <w:proofErr w:type="spellStart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Fte</w:t>
            </w:r>
            <w:proofErr w:type="spellEnd"/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. 1%), no está conforme porque fue pagada mediante envío de un cheque el día 28/12/20X1.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8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Comentando con el encargado de las cuentas a cobrar nos indica:</w:t>
            </w:r>
          </w:p>
        </w:tc>
      </w:tr>
      <w:tr w:rsidR="006C26F3" w:rsidRPr="006C26F3" w:rsidTr="006C26F3">
        <w:trPr>
          <w:trHeight w:val="13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8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      -La mercancía de la factura núm. 485 fue enviada el 03/01/20X2, aunque había sido facturada el día 31/12/2013.   El valor de la  factura es  $ 129.504,51</w:t>
            </w:r>
            <w:r w:rsidRPr="006C26F3">
              <w:rPr>
                <w:rFonts w:ascii="Calibri" w:eastAsia="Times New Roman" w:hAnsi="Calibri" w:cs="Arial"/>
                <w:b/>
                <w:bCs/>
                <w:color w:val="0000FF"/>
                <w:sz w:val="24"/>
                <w:szCs w:val="24"/>
                <w:lang w:eastAsia="es-EC"/>
              </w:rPr>
              <w:t xml:space="preserve"> </w:t>
            </w: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más IVA.  El cliente 9 es una empresa calificada como Contribuyente Normal.</w:t>
            </w:r>
          </w:p>
        </w:tc>
      </w:tr>
      <w:tr w:rsidR="006C26F3" w:rsidRPr="006C26F3" w:rsidTr="006C26F3">
        <w:trPr>
          <w:trHeight w:val="6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8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      -El Cheque para el cobro de la factura núm. 222 se recibió en el 20X2 y fue abonado en la cuenta del banco el día 07/01/20X2.</w:t>
            </w:r>
          </w:p>
          <w:p w:rsid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  <w:p w:rsid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  <w:p w:rsid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  <w:p w:rsid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  <w:p w:rsid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  <w:p w:rsid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  <w:p w:rsid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  <w:p w:rsid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  <w:p w:rsid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  <w:p w:rsid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  <w:p w:rsid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  <w:p w:rsid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  <w:p w:rsidR="006C26F3" w:rsidRPr="006C26F3" w:rsidRDefault="006C26F3" w:rsidP="006C26F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La Mejor ESPOL S.A.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 xml:space="preserve">Fecha: </w:t>
            </w: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…………………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Cuentas por Cobrar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Preparado por:</w:t>
            </w:r>
          </w:p>
        </w:tc>
        <w:tc>
          <w:tcPr>
            <w:tcW w:w="19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Sumaria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Aprobado por:</w:t>
            </w:r>
          </w:p>
        </w:tc>
        <w:tc>
          <w:tcPr>
            <w:tcW w:w="19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</w:tr>
      <w:tr w:rsidR="006C26F3" w:rsidRPr="006C26F3" w:rsidTr="006C26F3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Al 31 de Diciembre del 20X1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</w:tr>
      <w:tr w:rsidR="006C26F3" w:rsidRPr="006C26F3" w:rsidTr="006C26F3">
        <w:trPr>
          <w:trHeight w:val="1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En unidades de dólares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  <w:t>CUENTA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  <w:t>31.12.20X1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  <w:t>31.12.20X0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>Cuentas por Cobrar Clientes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 xml:space="preserve"> $   16.875.000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 xml:space="preserve"> $  14.375.000 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>Provisiones de Créditos Incobrables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 xml:space="preserve"> $    (1.250.000)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 xml:space="preserve">-         625.000 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  <w:p w:rsid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La Mejor ESPOL S.A.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 xml:space="preserve">Fecha: </w:t>
            </w: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……………………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Cuentas por Cobrar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Preparado por:</w:t>
            </w:r>
          </w:p>
        </w:tc>
        <w:tc>
          <w:tcPr>
            <w:tcW w:w="19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es-EC"/>
              </w:rPr>
            </w:pPr>
          </w:p>
        </w:tc>
      </w:tr>
      <w:tr w:rsidR="006C26F3" w:rsidRPr="006C26F3" w:rsidTr="006C26F3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Detalle por Clientes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Aprobado por:</w:t>
            </w:r>
          </w:p>
        </w:tc>
        <w:tc>
          <w:tcPr>
            <w:tcW w:w="19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</w:tr>
      <w:tr w:rsidR="006C26F3" w:rsidRPr="006C26F3" w:rsidTr="006C26F3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Al 31 de Diciembre del 20X1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Nombre del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  <w:t xml:space="preserve">Cliente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  <w:t xml:space="preserve"> Total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 $     1.125.000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2.250.000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750.000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1.125.000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1.375.000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1.000.000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1.625.000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3.750.000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2.500.000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1.375.000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  <w:t>Total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 $   16.875.000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  <w:p w:rsid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  <w:p w:rsid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  <w:p w:rsid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  <w:p w:rsid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  <w:p w:rsid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1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La Mejor ESPOL S.A.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 xml:space="preserve">Fecha: </w:t>
            </w:r>
            <w:r w:rsidRPr="006C26F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  <w:t xml:space="preserve"> 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es-EC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Cuentas  por Cobrar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Preparado por:</w:t>
            </w:r>
          </w:p>
        </w:tc>
        <w:tc>
          <w:tcPr>
            <w:tcW w:w="19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Análisis de Confirmaciones Recibidas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Aprobado por:</w:t>
            </w:r>
          </w:p>
        </w:tc>
        <w:tc>
          <w:tcPr>
            <w:tcW w:w="19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</w:tr>
      <w:tr w:rsidR="006C26F3" w:rsidRPr="006C26F3" w:rsidTr="006C26F3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Al 31 de diciembre del 20X1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  <w:t>En unidades de dólares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Saldos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  <w:t xml:space="preserve">Nombre del Cliente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  <w:proofErr w:type="spellStart"/>
            <w:r w:rsidRPr="006C26F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  <w:t>Confirm</w:t>
            </w:r>
            <w:proofErr w:type="spellEnd"/>
            <w:r w:rsidRPr="006C26F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  <w:t>.</w:t>
            </w:r>
            <w:r w:rsidRPr="006C26F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  <w:br/>
              <w:t xml:space="preserve"> </w:t>
            </w:r>
            <w:proofErr w:type="spellStart"/>
            <w:r w:rsidRPr="006C26F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  <w:t>Recib</w:t>
            </w:r>
            <w:proofErr w:type="spellEnd"/>
            <w:r w:rsidRPr="006C26F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  <w:t>.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  <w:t>Contable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  <w:t>Diferencia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2.250.000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2.250.000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0 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3.750.000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3.750.000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0 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2.043.750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2.500.000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456.250 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La Mejor ESPOL S.A.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 xml:space="preserve">Fecha: </w:t>
            </w:r>
            <w:r w:rsidRPr="006C26F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  <w:t xml:space="preserve"> 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es-EC"/>
              </w:rPr>
              <w:t> 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es-EC"/>
              </w:rPr>
              <w:t> 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Cuentas por Cobrar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Preparado por:</w:t>
            </w:r>
          </w:p>
        </w:tc>
        <w:tc>
          <w:tcPr>
            <w:tcW w:w="19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es-EC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es-EC"/>
              </w:rPr>
              <w:t> 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Procedimientos Alternativos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Aprobado por:</w:t>
            </w:r>
          </w:p>
        </w:tc>
        <w:tc>
          <w:tcPr>
            <w:tcW w:w="19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es-EC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es-EC"/>
              </w:rPr>
              <w:t> </w:t>
            </w: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Confirmaciones no contestadas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</w:tr>
      <w:tr w:rsidR="006C26F3" w:rsidRPr="006C26F3" w:rsidTr="006C26F3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Al 31 de diciembre del 20X1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> </w:t>
            </w:r>
          </w:p>
        </w:tc>
      </w:tr>
      <w:tr w:rsidR="006C26F3" w:rsidRPr="006C26F3" w:rsidTr="006C26F3">
        <w:trPr>
          <w:trHeight w:val="1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  <w:t xml:space="preserve">Nombre del Cliente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C"/>
              </w:rPr>
              <w:t>Saldo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 $     1.375.000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1.625.000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C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  <w:r w:rsidRPr="006C26F3"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  <w:t xml:space="preserve"> $     1.375.000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  <w:tr w:rsidR="006C26F3" w:rsidRPr="006C26F3" w:rsidTr="006C26F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F3" w:rsidRPr="006C26F3" w:rsidRDefault="006C26F3" w:rsidP="006C26F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C"/>
              </w:rPr>
            </w:pPr>
          </w:p>
        </w:tc>
      </w:tr>
    </w:tbl>
    <w:p w:rsidR="006C26F3" w:rsidRDefault="006C26F3"/>
    <w:sectPr w:rsidR="006C26F3" w:rsidSect="006C26F3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B30B7"/>
    <w:rsid w:val="005C53A2"/>
    <w:rsid w:val="006C26F3"/>
    <w:rsid w:val="009C1221"/>
    <w:rsid w:val="00B91D14"/>
    <w:rsid w:val="00EB30B7"/>
    <w:rsid w:val="00FE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3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1244</Words>
  <Characters>6842</Characters>
  <Application>Microsoft Office Word</Application>
  <DocSecurity>0</DocSecurity>
  <Lines>57</Lines>
  <Paragraphs>16</Paragraphs>
  <ScaleCrop>false</ScaleCrop>
  <Company>Hewlett-Packard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JESSENIA</dc:creator>
  <cp:lastModifiedBy>JESSENIA</cp:lastModifiedBy>
  <cp:revision>3</cp:revision>
  <dcterms:created xsi:type="dcterms:W3CDTF">2015-03-08T14:47:00Z</dcterms:created>
  <dcterms:modified xsi:type="dcterms:W3CDTF">2015-03-08T16:26:00Z</dcterms:modified>
</cp:coreProperties>
</file>