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DE5" w:rsidRPr="001F6DC2" w:rsidRDefault="001F6DC2" w:rsidP="001F6DC2">
      <w:pPr>
        <w:jc w:val="center"/>
        <w:rPr>
          <w:b/>
        </w:rPr>
      </w:pPr>
      <w:r w:rsidRPr="001F6DC2">
        <w:rPr>
          <w:b/>
        </w:rPr>
        <w:t>ESCUELA SUPERIOR POLITÉCNICA DEL LITORAL</w:t>
      </w:r>
    </w:p>
    <w:p w:rsidR="001F6DC2" w:rsidRPr="001F6DC2" w:rsidRDefault="001F6DC2" w:rsidP="001F6DC2">
      <w:pPr>
        <w:jc w:val="center"/>
        <w:rPr>
          <w:b/>
        </w:rPr>
      </w:pPr>
      <w:r w:rsidRPr="001F6DC2">
        <w:rPr>
          <w:b/>
        </w:rPr>
        <w:t>FACULTAD DE CIENCIAS SOCIALES Y HUMANÍSTICAS</w:t>
      </w:r>
    </w:p>
    <w:p w:rsidR="001F6DC2" w:rsidRPr="001F6DC2" w:rsidRDefault="001F6DC2" w:rsidP="001F6DC2">
      <w:pPr>
        <w:jc w:val="center"/>
        <w:rPr>
          <w:b/>
        </w:rPr>
      </w:pPr>
      <w:r w:rsidRPr="001F6DC2">
        <w:rPr>
          <w:b/>
        </w:rPr>
        <w:t>FORMULACIÓN Y EVALUACIÓN DE PROYECTOS</w:t>
      </w:r>
    </w:p>
    <w:p w:rsidR="001F6DC2" w:rsidRPr="001F6DC2" w:rsidRDefault="001F6DC2" w:rsidP="001F6DC2">
      <w:pPr>
        <w:jc w:val="center"/>
        <w:rPr>
          <w:b/>
        </w:rPr>
      </w:pPr>
      <w:r w:rsidRPr="001F6DC2">
        <w:rPr>
          <w:b/>
        </w:rPr>
        <w:t>EXAMEN DE MEJORAMIENTO</w:t>
      </w:r>
    </w:p>
    <w:p w:rsidR="001F6DC2" w:rsidRPr="001F6DC2" w:rsidRDefault="001F6DC2">
      <w:pPr>
        <w:rPr>
          <w:b/>
        </w:rPr>
      </w:pPr>
    </w:p>
    <w:p w:rsidR="000C7874" w:rsidRDefault="000C7874" w:rsidP="001F6DC2">
      <w:pPr>
        <w:jc w:val="both"/>
        <w:rPr>
          <w:b/>
        </w:rPr>
      </w:pPr>
      <w:r>
        <w:rPr>
          <w:b/>
        </w:rPr>
        <w:t>Nombre:…………………………………………                       Fecha: 24/Septiembre/2015</w:t>
      </w:r>
    </w:p>
    <w:p w:rsidR="000C7874" w:rsidRDefault="000C7874" w:rsidP="001F6DC2">
      <w:pPr>
        <w:jc w:val="both"/>
        <w:rPr>
          <w:b/>
        </w:rPr>
      </w:pPr>
      <w:r>
        <w:rPr>
          <w:b/>
        </w:rPr>
        <w:t>Profesor: Felipe D. Álvarez Ordóñez</w:t>
      </w:r>
    </w:p>
    <w:p w:rsidR="000C7874" w:rsidRDefault="000C7874" w:rsidP="001F6DC2">
      <w:pPr>
        <w:jc w:val="both"/>
        <w:rPr>
          <w:b/>
        </w:rPr>
      </w:pPr>
    </w:p>
    <w:p w:rsidR="00F076F4" w:rsidRPr="00296B47" w:rsidRDefault="00F076F4" w:rsidP="00F076F4">
      <w:pPr>
        <w:jc w:val="both"/>
        <w:rPr>
          <w:sz w:val="18"/>
          <w:szCs w:val="18"/>
        </w:rPr>
      </w:pPr>
      <w:r w:rsidRPr="00296B47">
        <w:rPr>
          <w:sz w:val="18"/>
          <w:szCs w:val="18"/>
        </w:rPr>
        <w:t>Yo,……………………………………al firmar este compromiso, reconozco que el presente examen está diseñado para ser resuelto de manera individual, que puedo usar calculadora ordinaria para  cálculos aritméticos, un lápiz o esferográfico; que solo puedo comunicarme con la persona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w:t>
      </w:r>
    </w:p>
    <w:p w:rsidR="00F076F4" w:rsidRPr="00296B47" w:rsidRDefault="00F076F4" w:rsidP="00F076F4">
      <w:pPr>
        <w:jc w:val="both"/>
        <w:rPr>
          <w:sz w:val="18"/>
          <w:szCs w:val="18"/>
        </w:rPr>
      </w:pPr>
    </w:p>
    <w:p w:rsidR="00F076F4" w:rsidRPr="00296B47" w:rsidRDefault="00F076F4" w:rsidP="00F076F4">
      <w:pPr>
        <w:jc w:val="both"/>
        <w:rPr>
          <w:sz w:val="18"/>
          <w:szCs w:val="18"/>
        </w:rPr>
      </w:pPr>
      <w:r w:rsidRPr="00296B47">
        <w:rPr>
          <w:sz w:val="18"/>
          <w:szCs w:val="18"/>
        </w:rPr>
        <w:t>Firmo al pie del presente compromiso, como constancia de haber leído y aceptar la declaración anterior.</w:t>
      </w:r>
    </w:p>
    <w:p w:rsidR="00F076F4" w:rsidRPr="00296B47" w:rsidRDefault="00F076F4" w:rsidP="00F076F4">
      <w:pPr>
        <w:jc w:val="both"/>
        <w:rPr>
          <w:sz w:val="18"/>
          <w:szCs w:val="18"/>
        </w:rPr>
      </w:pPr>
    </w:p>
    <w:p w:rsidR="00F076F4" w:rsidRPr="00296B47" w:rsidRDefault="00F076F4" w:rsidP="00F076F4">
      <w:pPr>
        <w:jc w:val="both"/>
        <w:rPr>
          <w:sz w:val="18"/>
          <w:szCs w:val="18"/>
        </w:rPr>
      </w:pPr>
      <w:r w:rsidRPr="00296B47">
        <w:rPr>
          <w:sz w:val="18"/>
          <w:szCs w:val="18"/>
        </w:rPr>
        <w:t>Firma:……………………………………….                               Número de Matrícula:……………………………………..</w:t>
      </w:r>
    </w:p>
    <w:p w:rsidR="00F076F4" w:rsidRDefault="00F076F4" w:rsidP="001F6DC2">
      <w:pPr>
        <w:jc w:val="both"/>
        <w:rPr>
          <w:b/>
        </w:rPr>
      </w:pPr>
    </w:p>
    <w:p w:rsidR="00F076F4" w:rsidRDefault="00F076F4" w:rsidP="001F6DC2">
      <w:pPr>
        <w:jc w:val="both"/>
        <w:rPr>
          <w:b/>
        </w:rPr>
      </w:pPr>
    </w:p>
    <w:p w:rsidR="00F076F4" w:rsidRDefault="00F076F4" w:rsidP="001F6DC2">
      <w:pPr>
        <w:jc w:val="both"/>
        <w:rPr>
          <w:b/>
        </w:rPr>
      </w:pPr>
    </w:p>
    <w:p w:rsidR="001F6DC2" w:rsidRDefault="001F6DC2" w:rsidP="001F6DC2">
      <w:pPr>
        <w:jc w:val="both"/>
        <w:rPr>
          <w:b/>
        </w:rPr>
      </w:pPr>
      <w:r w:rsidRPr="001F6DC2">
        <w:rPr>
          <w:b/>
        </w:rPr>
        <w:t>Indicar si cada uno de los siguientes enunciad</w:t>
      </w:r>
      <w:r w:rsidR="00DA654C">
        <w:rPr>
          <w:b/>
        </w:rPr>
        <w:t>os es Verdadero (V) o Falso (F)</w:t>
      </w:r>
      <w:r w:rsidR="000C7874">
        <w:rPr>
          <w:b/>
        </w:rPr>
        <w:t xml:space="preserve"> (1 punto C/u)</w:t>
      </w:r>
    </w:p>
    <w:p w:rsidR="00DA654C" w:rsidRDefault="00DA654C" w:rsidP="001F6DC2">
      <w:pPr>
        <w:jc w:val="both"/>
        <w:rPr>
          <w:b/>
        </w:rPr>
      </w:pPr>
    </w:p>
    <w:p w:rsidR="00DA654C" w:rsidRDefault="00DA654C" w:rsidP="001F6DC2">
      <w:pPr>
        <w:jc w:val="both"/>
        <w:rPr>
          <w:b/>
        </w:rPr>
      </w:pPr>
    </w:p>
    <w:tbl>
      <w:tblPr>
        <w:tblStyle w:val="Tablaconcuadrcula"/>
        <w:tblW w:w="0" w:type="auto"/>
        <w:tblLook w:val="04A0" w:firstRow="1" w:lastRow="0" w:firstColumn="1" w:lastColumn="0" w:noHBand="0" w:noVBand="1"/>
      </w:tblPr>
      <w:tblGrid>
        <w:gridCol w:w="7905"/>
        <w:gridCol w:w="733"/>
      </w:tblGrid>
      <w:tr w:rsidR="00DA654C" w:rsidTr="00DA654C">
        <w:tc>
          <w:tcPr>
            <w:tcW w:w="7905" w:type="dxa"/>
          </w:tcPr>
          <w:p w:rsidR="00DA654C" w:rsidRDefault="00DA654C" w:rsidP="000C7874">
            <w:pPr>
              <w:jc w:val="center"/>
              <w:rPr>
                <w:b/>
              </w:rPr>
            </w:pPr>
            <w:r>
              <w:rPr>
                <w:b/>
              </w:rPr>
              <w:t>Enunciado</w:t>
            </w:r>
          </w:p>
        </w:tc>
        <w:tc>
          <w:tcPr>
            <w:tcW w:w="733" w:type="dxa"/>
          </w:tcPr>
          <w:p w:rsidR="00DA654C" w:rsidRDefault="00DA654C" w:rsidP="000C7874">
            <w:pPr>
              <w:jc w:val="center"/>
              <w:rPr>
                <w:b/>
              </w:rPr>
            </w:pPr>
            <w:r>
              <w:rPr>
                <w:b/>
              </w:rPr>
              <w:t>V/F</w:t>
            </w:r>
          </w:p>
        </w:tc>
      </w:tr>
      <w:tr w:rsidR="00DA654C" w:rsidTr="00DA654C">
        <w:tc>
          <w:tcPr>
            <w:tcW w:w="7905" w:type="dxa"/>
          </w:tcPr>
          <w:p w:rsidR="00DA654C" w:rsidRDefault="00DA654C" w:rsidP="00DA654C">
            <w:pPr>
              <w:pStyle w:val="Prrafodelista"/>
              <w:numPr>
                <w:ilvl w:val="0"/>
                <w:numId w:val="1"/>
              </w:numPr>
              <w:jc w:val="both"/>
            </w:pPr>
            <w:r>
              <w:t>Si la TMAR es igual que la TIR, entonces se puede afirmar que el proyecto no económicamente factible.</w:t>
            </w:r>
          </w:p>
          <w:p w:rsidR="00DA654C" w:rsidRDefault="00DA654C" w:rsidP="001F6DC2">
            <w:pPr>
              <w:jc w:val="both"/>
              <w:rPr>
                <w:b/>
              </w:rPr>
            </w:pPr>
          </w:p>
        </w:tc>
        <w:tc>
          <w:tcPr>
            <w:tcW w:w="733" w:type="dxa"/>
          </w:tcPr>
          <w:p w:rsidR="00DA654C" w:rsidRDefault="00DA654C" w:rsidP="001F6DC2">
            <w:pPr>
              <w:jc w:val="both"/>
              <w:rPr>
                <w:b/>
              </w:rPr>
            </w:pPr>
          </w:p>
        </w:tc>
      </w:tr>
      <w:tr w:rsidR="00DA654C" w:rsidTr="00DA654C">
        <w:tc>
          <w:tcPr>
            <w:tcW w:w="7905" w:type="dxa"/>
          </w:tcPr>
          <w:p w:rsidR="00DA654C" w:rsidRDefault="00DA654C" w:rsidP="00DA654C">
            <w:pPr>
              <w:pStyle w:val="Prrafodelista"/>
              <w:numPr>
                <w:ilvl w:val="0"/>
                <w:numId w:val="1"/>
              </w:numPr>
              <w:jc w:val="both"/>
            </w:pPr>
            <w:r>
              <w:t>Si el VAN de un proyecto es igual a $32,000, entonces se puede decir que la ganancia que el proyecto ofrece el día de hoy es igual a $32,000.</w:t>
            </w:r>
          </w:p>
          <w:p w:rsidR="00DA654C" w:rsidRDefault="00DA654C" w:rsidP="001F6DC2">
            <w:pPr>
              <w:jc w:val="both"/>
              <w:rPr>
                <w:b/>
              </w:rPr>
            </w:pPr>
          </w:p>
        </w:tc>
        <w:tc>
          <w:tcPr>
            <w:tcW w:w="733" w:type="dxa"/>
          </w:tcPr>
          <w:p w:rsidR="00DA654C" w:rsidRDefault="00DA654C" w:rsidP="001F6DC2">
            <w:pPr>
              <w:jc w:val="both"/>
              <w:rPr>
                <w:b/>
              </w:rPr>
            </w:pPr>
          </w:p>
        </w:tc>
      </w:tr>
      <w:tr w:rsidR="00DA654C" w:rsidTr="00DA654C">
        <w:trPr>
          <w:trHeight w:val="1123"/>
        </w:trPr>
        <w:tc>
          <w:tcPr>
            <w:tcW w:w="7905" w:type="dxa"/>
          </w:tcPr>
          <w:p w:rsidR="00DA654C" w:rsidRDefault="00DA654C" w:rsidP="00DA654C">
            <w:pPr>
              <w:pStyle w:val="Prrafodelista"/>
              <w:numPr>
                <w:ilvl w:val="0"/>
                <w:numId w:val="1"/>
              </w:numPr>
              <w:jc w:val="both"/>
            </w:pPr>
            <w:r>
              <w:t xml:space="preserve">Al momento de realizar una simulación, </w:t>
            </w:r>
            <w:r w:rsidR="00F076F4">
              <w:t>para testear la factibilidad de un</w:t>
            </w:r>
            <w:r>
              <w:t xml:space="preserve"> proyecto, es muy común declarar como una de las variables de entrada a la TMAR, asignándole, usualmente una distribución de probabilidad normal.</w:t>
            </w:r>
          </w:p>
          <w:p w:rsidR="00DA654C" w:rsidRDefault="00DA654C" w:rsidP="001F6DC2">
            <w:pPr>
              <w:jc w:val="both"/>
              <w:rPr>
                <w:b/>
              </w:rPr>
            </w:pPr>
          </w:p>
        </w:tc>
        <w:tc>
          <w:tcPr>
            <w:tcW w:w="733" w:type="dxa"/>
          </w:tcPr>
          <w:p w:rsidR="00DA654C" w:rsidRDefault="00DA654C" w:rsidP="001F6DC2">
            <w:pPr>
              <w:jc w:val="both"/>
              <w:rPr>
                <w:b/>
              </w:rPr>
            </w:pPr>
          </w:p>
        </w:tc>
      </w:tr>
      <w:tr w:rsidR="00DA654C" w:rsidTr="00DA654C">
        <w:trPr>
          <w:trHeight w:val="841"/>
        </w:trPr>
        <w:tc>
          <w:tcPr>
            <w:tcW w:w="7905" w:type="dxa"/>
          </w:tcPr>
          <w:p w:rsidR="00DA654C" w:rsidRDefault="00DA654C" w:rsidP="00DA654C">
            <w:pPr>
              <w:pStyle w:val="Prrafodelista"/>
              <w:numPr>
                <w:ilvl w:val="0"/>
                <w:numId w:val="1"/>
              </w:numPr>
              <w:jc w:val="both"/>
            </w:pPr>
            <w:r>
              <w:t>Al momento de calcular el valor de desecho de un proyecto, siendo “conservadores”  en dicha estimación, es pertinente utilizar  el “Método Económico”.</w:t>
            </w:r>
          </w:p>
          <w:p w:rsidR="00DA654C" w:rsidRDefault="00DA654C" w:rsidP="001F6DC2">
            <w:pPr>
              <w:jc w:val="both"/>
              <w:rPr>
                <w:b/>
              </w:rPr>
            </w:pPr>
          </w:p>
        </w:tc>
        <w:tc>
          <w:tcPr>
            <w:tcW w:w="733" w:type="dxa"/>
          </w:tcPr>
          <w:p w:rsidR="00DA654C" w:rsidRDefault="00DA654C" w:rsidP="001F6DC2">
            <w:pPr>
              <w:jc w:val="both"/>
              <w:rPr>
                <w:b/>
              </w:rPr>
            </w:pPr>
          </w:p>
        </w:tc>
      </w:tr>
      <w:tr w:rsidR="00DA654C" w:rsidTr="00DA654C">
        <w:tc>
          <w:tcPr>
            <w:tcW w:w="7905" w:type="dxa"/>
          </w:tcPr>
          <w:p w:rsidR="00DA654C" w:rsidRDefault="00DA654C" w:rsidP="00DA654C">
            <w:pPr>
              <w:pStyle w:val="Prrafodelista"/>
              <w:numPr>
                <w:ilvl w:val="0"/>
                <w:numId w:val="1"/>
              </w:numPr>
              <w:jc w:val="both"/>
            </w:pPr>
            <w:r>
              <w:t>El capital de trabajo se puede definir como  aquella cantidad de recursos económicos que deben de estar disponibles en el proyecto, para cubrir cualquier eventual desfase que pudiera presentarse entre la ocurrencia de ingresos y egresos del negocio.</w:t>
            </w:r>
          </w:p>
          <w:p w:rsidR="00DA654C" w:rsidRDefault="00DA654C" w:rsidP="001F6DC2">
            <w:pPr>
              <w:jc w:val="both"/>
              <w:rPr>
                <w:b/>
              </w:rPr>
            </w:pPr>
          </w:p>
        </w:tc>
        <w:tc>
          <w:tcPr>
            <w:tcW w:w="733" w:type="dxa"/>
          </w:tcPr>
          <w:p w:rsidR="00DA654C" w:rsidRDefault="00DA654C" w:rsidP="001F6DC2">
            <w:pPr>
              <w:jc w:val="both"/>
              <w:rPr>
                <w:b/>
              </w:rPr>
            </w:pPr>
          </w:p>
        </w:tc>
      </w:tr>
      <w:tr w:rsidR="00DA654C" w:rsidTr="00DA654C">
        <w:tc>
          <w:tcPr>
            <w:tcW w:w="7905" w:type="dxa"/>
          </w:tcPr>
          <w:p w:rsidR="00DA654C" w:rsidRDefault="00DA654C" w:rsidP="00DA654C">
            <w:pPr>
              <w:pStyle w:val="Prrafodelista"/>
              <w:numPr>
                <w:ilvl w:val="0"/>
                <w:numId w:val="1"/>
              </w:numPr>
              <w:jc w:val="both"/>
            </w:pPr>
            <w:r>
              <w:t>Son métodos para calcular el Capital de Trabajo de un proyecto: Método Contable, Extrapolación de la Tendencia Histórica y el Método del Déficit Máximo Acumulado.</w:t>
            </w:r>
          </w:p>
          <w:p w:rsidR="00DA654C" w:rsidRDefault="00DA654C" w:rsidP="001F6DC2">
            <w:pPr>
              <w:jc w:val="both"/>
              <w:rPr>
                <w:b/>
              </w:rPr>
            </w:pPr>
          </w:p>
        </w:tc>
        <w:tc>
          <w:tcPr>
            <w:tcW w:w="733" w:type="dxa"/>
          </w:tcPr>
          <w:p w:rsidR="00DA654C" w:rsidRDefault="00DA654C" w:rsidP="001F6DC2">
            <w:pPr>
              <w:jc w:val="both"/>
              <w:rPr>
                <w:b/>
              </w:rPr>
            </w:pPr>
          </w:p>
        </w:tc>
      </w:tr>
      <w:tr w:rsidR="00DA654C" w:rsidTr="00DA654C">
        <w:tc>
          <w:tcPr>
            <w:tcW w:w="7905" w:type="dxa"/>
          </w:tcPr>
          <w:p w:rsidR="00DA654C" w:rsidRPr="00DA654C" w:rsidRDefault="00DA654C" w:rsidP="00DA654C">
            <w:pPr>
              <w:pStyle w:val="Prrafodelista"/>
              <w:numPr>
                <w:ilvl w:val="0"/>
                <w:numId w:val="1"/>
              </w:numPr>
              <w:jc w:val="both"/>
            </w:pPr>
            <w:r w:rsidRPr="00DA654C">
              <w:lastRenderedPageBreak/>
              <w:t xml:space="preserve">Son métodos para determinar la factibilidad financiera de un proyecto de inversión: Flujo de Efectivo, TIR, VAN y </w:t>
            </w:r>
            <w:proofErr w:type="spellStart"/>
            <w:r w:rsidRPr="00DA654C">
              <w:t>Pay</w:t>
            </w:r>
            <w:proofErr w:type="spellEnd"/>
            <w:r w:rsidRPr="00DA654C">
              <w:t xml:space="preserve"> Back.</w:t>
            </w:r>
          </w:p>
        </w:tc>
        <w:tc>
          <w:tcPr>
            <w:tcW w:w="733" w:type="dxa"/>
          </w:tcPr>
          <w:p w:rsidR="00DA654C" w:rsidRDefault="00DA654C" w:rsidP="001F6DC2">
            <w:pPr>
              <w:jc w:val="both"/>
              <w:rPr>
                <w:b/>
              </w:rPr>
            </w:pPr>
          </w:p>
        </w:tc>
      </w:tr>
      <w:tr w:rsidR="00DA654C" w:rsidTr="00DA654C">
        <w:tc>
          <w:tcPr>
            <w:tcW w:w="7905" w:type="dxa"/>
          </w:tcPr>
          <w:p w:rsidR="00DA654C" w:rsidRPr="00DA654C" w:rsidRDefault="0078329E" w:rsidP="00DA654C">
            <w:pPr>
              <w:pStyle w:val="Prrafodelista"/>
              <w:numPr>
                <w:ilvl w:val="0"/>
                <w:numId w:val="1"/>
              </w:numPr>
              <w:jc w:val="both"/>
            </w:pPr>
            <w:r>
              <w:t>La TMAR representa el coste de oportunidad en el que incurre el inversionista al tomar la decisión de financiar un determinado proyecto de inversión.</w:t>
            </w:r>
          </w:p>
        </w:tc>
        <w:tc>
          <w:tcPr>
            <w:tcW w:w="733" w:type="dxa"/>
          </w:tcPr>
          <w:p w:rsidR="00DA654C" w:rsidRDefault="00DA654C" w:rsidP="001F6DC2">
            <w:pPr>
              <w:jc w:val="both"/>
              <w:rPr>
                <w:b/>
              </w:rPr>
            </w:pPr>
          </w:p>
        </w:tc>
      </w:tr>
      <w:tr w:rsidR="00DA654C" w:rsidTr="00DA654C">
        <w:tc>
          <w:tcPr>
            <w:tcW w:w="7905" w:type="dxa"/>
          </w:tcPr>
          <w:p w:rsidR="00DA654C" w:rsidRPr="00DA654C" w:rsidRDefault="0078329E" w:rsidP="00DA654C">
            <w:pPr>
              <w:pStyle w:val="Prrafodelista"/>
              <w:numPr>
                <w:ilvl w:val="0"/>
                <w:numId w:val="1"/>
              </w:numPr>
              <w:jc w:val="both"/>
            </w:pPr>
            <w:r>
              <w:t>Para el caso de proyectos, cuyas ventas están sujetas a estacionalidades, al momento de estimar el capital de trabajo, es pertinente utilizar métodos tales como el método contable.</w:t>
            </w:r>
          </w:p>
        </w:tc>
        <w:tc>
          <w:tcPr>
            <w:tcW w:w="733" w:type="dxa"/>
          </w:tcPr>
          <w:p w:rsidR="00DA654C" w:rsidRDefault="00DA654C" w:rsidP="001F6DC2">
            <w:pPr>
              <w:jc w:val="both"/>
              <w:rPr>
                <w:b/>
              </w:rPr>
            </w:pPr>
          </w:p>
        </w:tc>
      </w:tr>
      <w:tr w:rsidR="00DA654C" w:rsidTr="00DA654C">
        <w:tc>
          <w:tcPr>
            <w:tcW w:w="7905" w:type="dxa"/>
          </w:tcPr>
          <w:p w:rsidR="00DA654C" w:rsidRPr="00DA654C" w:rsidRDefault="0078329E" w:rsidP="00DA654C">
            <w:pPr>
              <w:pStyle w:val="Prrafodelista"/>
              <w:numPr>
                <w:ilvl w:val="0"/>
                <w:numId w:val="1"/>
              </w:numPr>
              <w:jc w:val="both"/>
            </w:pPr>
            <w:r>
              <w:t>Según el Método Económico, el valor de desecho de un proyecto representa el valor monetario al cual un proyecto podría ser vendido en función de su capacidad de generar flujos de efectivo.</w:t>
            </w:r>
          </w:p>
        </w:tc>
        <w:tc>
          <w:tcPr>
            <w:tcW w:w="733" w:type="dxa"/>
          </w:tcPr>
          <w:p w:rsidR="00DA654C" w:rsidRDefault="00DA654C" w:rsidP="001F6DC2">
            <w:pPr>
              <w:jc w:val="both"/>
              <w:rPr>
                <w:b/>
              </w:rPr>
            </w:pPr>
          </w:p>
        </w:tc>
      </w:tr>
      <w:tr w:rsidR="00DA654C" w:rsidTr="00DA654C">
        <w:tc>
          <w:tcPr>
            <w:tcW w:w="7905" w:type="dxa"/>
          </w:tcPr>
          <w:p w:rsidR="00DA654C" w:rsidRPr="00DA654C" w:rsidRDefault="0078329E" w:rsidP="00DA654C">
            <w:pPr>
              <w:pStyle w:val="Prrafodelista"/>
              <w:numPr>
                <w:ilvl w:val="0"/>
                <w:numId w:val="1"/>
              </w:numPr>
              <w:jc w:val="both"/>
            </w:pPr>
            <w:r>
              <w:t>En el flujo de efectivo de un proyecto de inversión, el Gasto  de Depreciación, aunque es conocido como un “Gasto no Desembolsable”, es considerado para efectos de un ahorro de gastos.</w:t>
            </w:r>
          </w:p>
        </w:tc>
        <w:tc>
          <w:tcPr>
            <w:tcW w:w="733" w:type="dxa"/>
          </w:tcPr>
          <w:p w:rsidR="00DA654C" w:rsidRDefault="00DA654C" w:rsidP="001F6DC2">
            <w:pPr>
              <w:jc w:val="both"/>
              <w:rPr>
                <w:b/>
              </w:rPr>
            </w:pPr>
          </w:p>
        </w:tc>
      </w:tr>
      <w:tr w:rsidR="00DA654C" w:rsidTr="00DA654C">
        <w:tc>
          <w:tcPr>
            <w:tcW w:w="7905" w:type="dxa"/>
          </w:tcPr>
          <w:p w:rsidR="00DA654C" w:rsidRPr="00DA654C" w:rsidRDefault="0078329E" w:rsidP="00DA654C">
            <w:pPr>
              <w:pStyle w:val="Prrafodelista"/>
              <w:numPr>
                <w:ilvl w:val="0"/>
                <w:numId w:val="1"/>
              </w:numPr>
              <w:jc w:val="both"/>
            </w:pPr>
            <w:r>
              <w:t>En el marco de la evaluación de un proyecto de inversión, si la TIR es igual a la TMAR, entonces el VAN será igual a cero dólares.</w:t>
            </w:r>
          </w:p>
        </w:tc>
        <w:tc>
          <w:tcPr>
            <w:tcW w:w="733" w:type="dxa"/>
          </w:tcPr>
          <w:p w:rsidR="00DA654C" w:rsidRDefault="00DA654C" w:rsidP="001F6DC2">
            <w:pPr>
              <w:jc w:val="both"/>
              <w:rPr>
                <w:b/>
              </w:rPr>
            </w:pPr>
          </w:p>
        </w:tc>
      </w:tr>
      <w:tr w:rsidR="00DA654C" w:rsidTr="00DA654C">
        <w:tc>
          <w:tcPr>
            <w:tcW w:w="7905" w:type="dxa"/>
          </w:tcPr>
          <w:p w:rsidR="00DA654C" w:rsidRPr="00DA654C" w:rsidRDefault="0078329E" w:rsidP="00DA654C">
            <w:pPr>
              <w:pStyle w:val="Prrafodelista"/>
              <w:numPr>
                <w:ilvl w:val="0"/>
                <w:numId w:val="1"/>
              </w:numPr>
              <w:jc w:val="both"/>
            </w:pPr>
            <w:r>
              <w:t xml:space="preserve">En el contexto de la evaluación de un proyecto de inversión, cuando se obtiene un VAN </w:t>
            </w:r>
            <w:r w:rsidR="00F076F4">
              <w:t xml:space="preserve">es </w:t>
            </w:r>
            <w:r>
              <w:t>igual a cero dólares, entonces se puede declarar que se ha alcanzado el punto de equilibrio operativo en dicho negocio/proyecto.</w:t>
            </w:r>
          </w:p>
        </w:tc>
        <w:tc>
          <w:tcPr>
            <w:tcW w:w="733" w:type="dxa"/>
          </w:tcPr>
          <w:p w:rsidR="00DA654C" w:rsidRDefault="00DA654C" w:rsidP="001F6DC2">
            <w:pPr>
              <w:jc w:val="both"/>
              <w:rPr>
                <w:b/>
              </w:rPr>
            </w:pPr>
          </w:p>
        </w:tc>
      </w:tr>
      <w:tr w:rsidR="0078329E" w:rsidTr="00DA654C">
        <w:tc>
          <w:tcPr>
            <w:tcW w:w="7905" w:type="dxa"/>
          </w:tcPr>
          <w:p w:rsidR="0078329E" w:rsidRPr="00DA654C" w:rsidRDefault="0078329E" w:rsidP="00DA654C">
            <w:pPr>
              <w:pStyle w:val="Prrafodelista"/>
              <w:numPr>
                <w:ilvl w:val="0"/>
                <w:numId w:val="1"/>
              </w:numPr>
              <w:jc w:val="both"/>
            </w:pPr>
            <w:r>
              <w:t>Al momento de estimar los flujos de ingresos derivados de la venta de un producto, siempre se considera el precio de venta al público.</w:t>
            </w:r>
          </w:p>
        </w:tc>
        <w:tc>
          <w:tcPr>
            <w:tcW w:w="733" w:type="dxa"/>
          </w:tcPr>
          <w:p w:rsidR="0078329E" w:rsidRDefault="0078329E" w:rsidP="001F6DC2">
            <w:pPr>
              <w:jc w:val="both"/>
              <w:rPr>
                <w:b/>
              </w:rPr>
            </w:pPr>
          </w:p>
        </w:tc>
      </w:tr>
      <w:tr w:rsidR="0078329E" w:rsidTr="00DA654C">
        <w:tc>
          <w:tcPr>
            <w:tcW w:w="7905" w:type="dxa"/>
          </w:tcPr>
          <w:p w:rsidR="0078329E" w:rsidRPr="00DA654C" w:rsidRDefault="0078329E" w:rsidP="00DA654C">
            <w:pPr>
              <w:pStyle w:val="Prrafodelista"/>
              <w:numPr>
                <w:ilvl w:val="0"/>
                <w:numId w:val="1"/>
              </w:numPr>
              <w:jc w:val="both"/>
            </w:pPr>
            <w:r>
              <w:t>En el marco de la realización de un  estudio de factibilidad</w:t>
            </w:r>
            <w:r w:rsidR="00C67682">
              <w:t xml:space="preserve"> económica, cuando no se conoce</w:t>
            </w:r>
            <w:r>
              <w:t xml:space="preserve"> con certeza el número de elementos que forman parte de la población objetivo, entonces dicha población se declara como infinita.</w:t>
            </w:r>
          </w:p>
        </w:tc>
        <w:tc>
          <w:tcPr>
            <w:tcW w:w="733" w:type="dxa"/>
          </w:tcPr>
          <w:p w:rsidR="0078329E" w:rsidRDefault="0078329E" w:rsidP="001F6DC2">
            <w:pPr>
              <w:jc w:val="both"/>
              <w:rPr>
                <w:b/>
              </w:rPr>
            </w:pPr>
          </w:p>
        </w:tc>
      </w:tr>
      <w:tr w:rsidR="0078329E" w:rsidTr="00DA654C">
        <w:tc>
          <w:tcPr>
            <w:tcW w:w="7905" w:type="dxa"/>
          </w:tcPr>
          <w:p w:rsidR="0078329E" w:rsidRPr="00DA654C" w:rsidRDefault="00C67682" w:rsidP="00DA654C">
            <w:pPr>
              <w:pStyle w:val="Prrafodelista"/>
              <w:numPr>
                <w:ilvl w:val="0"/>
                <w:numId w:val="1"/>
              </w:numPr>
              <w:jc w:val="both"/>
            </w:pPr>
            <w:r>
              <w:t xml:space="preserve">En el contexto del desarrollo de un estudio de mercado, si la población objetivo es declarada como “finita”, entonces se puede optar por </w:t>
            </w:r>
            <w:r w:rsidR="00F076F4">
              <w:t xml:space="preserve">tipos de </w:t>
            </w:r>
            <w:r>
              <w:t>muestre</w:t>
            </w:r>
            <w:r w:rsidR="00F076F4">
              <w:t>o</w:t>
            </w:r>
            <w:r>
              <w:t xml:space="preserve"> tales como: Sistemático, Estratificado, Por Juicio.</w:t>
            </w:r>
          </w:p>
        </w:tc>
        <w:tc>
          <w:tcPr>
            <w:tcW w:w="733" w:type="dxa"/>
          </w:tcPr>
          <w:p w:rsidR="0078329E" w:rsidRDefault="0078329E" w:rsidP="001F6DC2">
            <w:pPr>
              <w:jc w:val="both"/>
              <w:rPr>
                <w:b/>
              </w:rPr>
            </w:pPr>
          </w:p>
        </w:tc>
      </w:tr>
      <w:tr w:rsidR="00C67682" w:rsidTr="00DA654C">
        <w:tc>
          <w:tcPr>
            <w:tcW w:w="7905" w:type="dxa"/>
          </w:tcPr>
          <w:p w:rsidR="00C67682" w:rsidRDefault="00333FB4" w:rsidP="00DA654C">
            <w:pPr>
              <w:pStyle w:val="Prrafodelista"/>
              <w:numPr>
                <w:ilvl w:val="0"/>
                <w:numId w:val="1"/>
              </w:numPr>
              <w:jc w:val="both"/>
            </w:pPr>
            <w:r>
              <w:t>Si al momento de estimar la demanda de un bien o servicio, en función de datos históricos, se ha determinado que la elasticidad precio demanda de dicho bien/servicio es menor  a uno, entonces se puede concluir que variaciones en el precio no provocarían variaciones significativas en la cantidad consumida.</w:t>
            </w:r>
          </w:p>
        </w:tc>
        <w:tc>
          <w:tcPr>
            <w:tcW w:w="733" w:type="dxa"/>
          </w:tcPr>
          <w:p w:rsidR="00C67682" w:rsidRDefault="00C67682" w:rsidP="001F6DC2">
            <w:pPr>
              <w:jc w:val="both"/>
              <w:rPr>
                <w:b/>
              </w:rPr>
            </w:pPr>
          </w:p>
        </w:tc>
      </w:tr>
      <w:tr w:rsidR="00C67682" w:rsidTr="00DA654C">
        <w:tc>
          <w:tcPr>
            <w:tcW w:w="7905" w:type="dxa"/>
          </w:tcPr>
          <w:p w:rsidR="00C67682" w:rsidRDefault="00333FB4" w:rsidP="00DA654C">
            <w:pPr>
              <w:pStyle w:val="Prrafodelista"/>
              <w:numPr>
                <w:ilvl w:val="0"/>
                <w:numId w:val="1"/>
              </w:numPr>
              <w:jc w:val="both"/>
            </w:pPr>
            <w:r>
              <w:t xml:space="preserve"> Son componentes del Estudio de Mercado: Análisis de la Demanda, Análisis de la Oferta, Análisis de Precios y Análisis de la Comercialización.</w:t>
            </w:r>
          </w:p>
        </w:tc>
        <w:tc>
          <w:tcPr>
            <w:tcW w:w="733" w:type="dxa"/>
          </w:tcPr>
          <w:p w:rsidR="00C67682" w:rsidRDefault="00C67682" w:rsidP="001F6DC2">
            <w:pPr>
              <w:jc w:val="both"/>
              <w:rPr>
                <w:b/>
              </w:rPr>
            </w:pPr>
          </w:p>
        </w:tc>
      </w:tr>
      <w:tr w:rsidR="00C67682" w:rsidTr="00DA654C">
        <w:tc>
          <w:tcPr>
            <w:tcW w:w="7905" w:type="dxa"/>
          </w:tcPr>
          <w:p w:rsidR="00C67682" w:rsidRDefault="00333FB4" w:rsidP="00333FB4">
            <w:pPr>
              <w:pStyle w:val="Prrafodelista"/>
              <w:numPr>
                <w:ilvl w:val="0"/>
                <w:numId w:val="1"/>
              </w:numPr>
              <w:jc w:val="both"/>
            </w:pPr>
            <w:r>
              <w:t xml:space="preserve"> Si una empresa pretende comercializar un producto en un mercado de destino que está a cientos de kilómetros de su punto de origen, es pertinente utiliza un canal de distribución que incluya la menor cantidad posible de intermediarios, para así tener un mayor control sobre el producto. </w:t>
            </w:r>
          </w:p>
        </w:tc>
        <w:tc>
          <w:tcPr>
            <w:tcW w:w="733" w:type="dxa"/>
          </w:tcPr>
          <w:p w:rsidR="00C67682" w:rsidRDefault="00C67682" w:rsidP="001F6DC2">
            <w:pPr>
              <w:jc w:val="both"/>
              <w:rPr>
                <w:b/>
              </w:rPr>
            </w:pPr>
          </w:p>
        </w:tc>
      </w:tr>
      <w:tr w:rsidR="00C67682" w:rsidTr="00DA654C">
        <w:tc>
          <w:tcPr>
            <w:tcW w:w="7905" w:type="dxa"/>
          </w:tcPr>
          <w:p w:rsidR="00C67682" w:rsidRDefault="00333FB4" w:rsidP="00DA654C">
            <w:pPr>
              <w:pStyle w:val="Prrafodelista"/>
              <w:numPr>
                <w:ilvl w:val="0"/>
                <w:numId w:val="1"/>
              </w:numPr>
              <w:jc w:val="both"/>
            </w:pPr>
            <w:r>
              <w:t>Si para estimar el comportamiento futuro de las ventas de una empresa, se ha considerado como variable independiente, el comportamiento histórico de dicha variable, entonces se puede afirmar que se ha utilizado un Modelo de Regresión Lineal Simple.</w:t>
            </w:r>
          </w:p>
          <w:p w:rsidR="00F076F4" w:rsidRDefault="00F076F4" w:rsidP="00F076F4">
            <w:pPr>
              <w:pStyle w:val="Prrafodelista"/>
              <w:jc w:val="both"/>
            </w:pPr>
          </w:p>
        </w:tc>
        <w:tc>
          <w:tcPr>
            <w:tcW w:w="733" w:type="dxa"/>
          </w:tcPr>
          <w:p w:rsidR="00C67682" w:rsidRDefault="00C67682" w:rsidP="001F6DC2">
            <w:pPr>
              <w:jc w:val="both"/>
              <w:rPr>
                <w:b/>
              </w:rPr>
            </w:pPr>
          </w:p>
        </w:tc>
      </w:tr>
      <w:tr w:rsidR="00C8436E" w:rsidTr="00DA654C">
        <w:tc>
          <w:tcPr>
            <w:tcW w:w="7905" w:type="dxa"/>
          </w:tcPr>
          <w:p w:rsidR="00C8436E" w:rsidRDefault="00C8436E" w:rsidP="00DA654C">
            <w:pPr>
              <w:pStyle w:val="Prrafodelista"/>
              <w:numPr>
                <w:ilvl w:val="0"/>
                <w:numId w:val="1"/>
              </w:numPr>
              <w:jc w:val="both"/>
            </w:pPr>
            <w:r>
              <w:lastRenderedPageBreak/>
              <w:t>El flujo de caja pertenece tanto a la fase de “Formulación y Preparación del Proyecto” así como a la fase de “Evaluación”.</w:t>
            </w:r>
          </w:p>
        </w:tc>
        <w:tc>
          <w:tcPr>
            <w:tcW w:w="733" w:type="dxa"/>
          </w:tcPr>
          <w:p w:rsidR="00C8436E" w:rsidRDefault="00C8436E" w:rsidP="001F6DC2">
            <w:pPr>
              <w:jc w:val="both"/>
              <w:rPr>
                <w:b/>
              </w:rPr>
            </w:pPr>
          </w:p>
        </w:tc>
      </w:tr>
      <w:tr w:rsidR="00C8436E" w:rsidTr="00DA654C">
        <w:tc>
          <w:tcPr>
            <w:tcW w:w="7905" w:type="dxa"/>
          </w:tcPr>
          <w:p w:rsidR="00C8436E" w:rsidRDefault="00C8436E" w:rsidP="00DA654C">
            <w:pPr>
              <w:pStyle w:val="Prrafodelista"/>
              <w:numPr>
                <w:ilvl w:val="0"/>
                <w:numId w:val="1"/>
              </w:numPr>
              <w:jc w:val="both"/>
            </w:pPr>
            <w:r>
              <w:t>Una de las principales desventajas de usar un Modelo de Regresión Lineal Simple para estimar variables críticas para un proyecto, tales como los “Ingresos por Venta”, es que el modelo sólo considera una sola variable independiente.</w:t>
            </w:r>
          </w:p>
        </w:tc>
        <w:tc>
          <w:tcPr>
            <w:tcW w:w="733" w:type="dxa"/>
          </w:tcPr>
          <w:p w:rsidR="00C8436E" w:rsidRDefault="00C8436E" w:rsidP="001F6DC2">
            <w:pPr>
              <w:jc w:val="both"/>
              <w:rPr>
                <w:b/>
              </w:rPr>
            </w:pPr>
          </w:p>
        </w:tc>
      </w:tr>
      <w:tr w:rsidR="00C8436E" w:rsidTr="00DA654C">
        <w:tc>
          <w:tcPr>
            <w:tcW w:w="7905" w:type="dxa"/>
          </w:tcPr>
          <w:p w:rsidR="00C8436E" w:rsidRDefault="00C8436E" w:rsidP="00DA654C">
            <w:pPr>
              <w:pStyle w:val="Prrafodelista"/>
              <w:numPr>
                <w:ilvl w:val="0"/>
                <w:numId w:val="1"/>
              </w:numPr>
              <w:jc w:val="both"/>
            </w:pPr>
            <w:r>
              <w:t>Si para el caso de un negocio se cuentan con costos fijos iguales a $100,000, un Coste Variable unitario igual a $20 y se sabe que el precio de venta por unidad asciende a $40, entonces el número de unidades que se deberían de vender para alcanzar el punto de equilibrio operativo es igual a 50,000.</w:t>
            </w:r>
          </w:p>
        </w:tc>
        <w:tc>
          <w:tcPr>
            <w:tcW w:w="733" w:type="dxa"/>
          </w:tcPr>
          <w:p w:rsidR="00C8436E" w:rsidRDefault="00C8436E" w:rsidP="001F6DC2">
            <w:pPr>
              <w:jc w:val="both"/>
              <w:rPr>
                <w:b/>
              </w:rPr>
            </w:pPr>
          </w:p>
        </w:tc>
      </w:tr>
      <w:tr w:rsidR="00C8436E" w:rsidTr="00DA654C">
        <w:tc>
          <w:tcPr>
            <w:tcW w:w="7905" w:type="dxa"/>
          </w:tcPr>
          <w:p w:rsidR="00C8436E" w:rsidRDefault="00C8436E" w:rsidP="00DA654C">
            <w:pPr>
              <w:pStyle w:val="Prrafodelista"/>
              <w:numPr>
                <w:ilvl w:val="0"/>
                <w:numId w:val="1"/>
              </w:numPr>
              <w:jc w:val="both"/>
            </w:pPr>
            <w:r>
              <w:t>En una ciudad se está evaluado, en el marco de un proceso de licitación, escoger la empresa que presente la propuesta más conveniente para distribuir agua potable</w:t>
            </w:r>
            <w:r w:rsidR="00F076F4">
              <w:t xml:space="preserve"> a toda la localidad</w:t>
            </w:r>
            <w:r>
              <w:t>. En esta situación</w:t>
            </w:r>
            <w:r w:rsidR="00F076F4">
              <w:t>,</w:t>
            </w:r>
            <w:r>
              <w:t xml:space="preserve"> la estructura del mercado a</w:t>
            </w:r>
            <w:r w:rsidR="00331700">
              <w:t xml:space="preserve"> </w:t>
            </w:r>
            <w:r>
              <w:t>l</w:t>
            </w:r>
            <w:r w:rsidR="00331700">
              <w:t>a cual dicho proyecto ingresaría, sería un mercado de competencia monopolística.</w:t>
            </w:r>
          </w:p>
        </w:tc>
        <w:tc>
          <w:tcPr>
            <w:tcW w:w="733" w:type="dxa"/>
          </w:tcPr>
          <w:p w:rsidR="00C8436E" w:rsidRDefault="00C8436E" w:rsidP="001F6DC2">
            <w:pPr>
              <w:jc w:val="both"/>
              <w:rPr>
                <w:b/>
              </w:rPr>
            </w:pPr>
          </w:p>
        </w:tc>
      </w:tr>
      <w:tr w:rsidR="00C8436E" w:rsidTr="00DA654C">
        <w:tc>
          <w:tcPr>
            <w:tcW w:w="7905" w:type="dxa"/>
          </w:tcPr>
          <w:p w:rsidR="00C8436E" w:rsidRDefault="00331700" w:rsidP="00DA654C">
            <w:pPr>
              <w:pStyle w:val="Prrafodelista"/>
              <w:numPr>
                <w:ilvl w:val="0"/>
                <w:numId w:val="1"/>
              </w:numPr>
              <w:jc w:val="both"/>
            </w:pPr>
            <w:r>
              <w:t>Desembolsos de recursos económicos asociados a la adquisición de elementos de planta, propiedad y equipos (antes llamados “activos fijos”</w:t>
            </w:r>
            <w:r w:rsidR="00F076F4">
              <w:t>)</w:t>
            </w:r>
            <w:bookmarkStart w:id="0" w:name="_GoBack"/>
            <w:bookmarkEnd w:id="0"/>
            <w:r>
              <w:t xml:space="preserve"> para garantizar el funcionamiento de un determinado proyecto, al momento de construir el flujo de efectivo, son declarados siempre como un Gasto de Inversión Inicial.</w:t>
            </w:r>
          </w:p>
        </w:tc>
        <w:tc>
          <w:tcPr>
            <w:tcW w:w="733" w:type="dxa"/>
          </w:tcPr>
          <w:p w:rsidR="00C8436E" w:rsidRDefault="00C8436E" w:rsidP="001F6DC2">
            <w:pPr>
              <w:jc w:val="both"/>
              <w:rPr>
                <w:b/>
              </w:rPr>
            </w:pPr>
          </w:p>
        </w:tc>
      </w:tr>
      <w:tr w:rsidR="00C8436E" w:rsidTr="00DA654C">
        <w:tc>
          <w:tcPr>
            <w:tcW w:w="7905" w:type="dxa"/>
          </w:tcPr>
          <w:p w:rsidR="00C8436E" w:rsidRDefault="00331700" w:rsidP="00DA654C">
            <w:pPr>
              <w:pStyle w:val="Prrafodelista"/>
              <w:numPr>
                <w:ilvl w:val="0"/>
                <w:numId w:val="1"/>
              </w:numPr>
              <w:jc w:val="both"/>
            </w:pPr>
            <w:r>
              <w:t>El Método Cualitativo por Puntos, es uno de los métodos más objetivos al momento de determinar la ubicación óptima de un proyecto de inversión.</w:t>
            </w:r>
          </w:p>
        </w:tc>
        <w:tc>
          <w:tcPr>
            <w:tcW w:w="733" w:type="dxa"/>
          </w:tcPr>
          <w:p w:rsidR="00C8436E" w:rsidRDefault="00C8436E" w:rsidP="001F6DC2">
            <w:pPr>
              <w:jc w:val="both"/>
              <w:rPr>
                <w:b/>
              </w:rPr>
            </w:pPr>
          </w:p>
        </w:tc>
      </w:tr>
      <w:tr w:rsidR="00C8436E" w:rsidTr="00DA654C">
        <w:tc>
          <w:tcPr>
            <w:tcW w:w="7905" w:type="dxa"/>
          </w:tcPr>
          <w:p w:rsidR="00C8436E" w:rsidRDefault="00331700" w:rsidP="00DA654C">
            <w:pPr>
              <w:pStyle w:val="Prrafodelista"/>
              <w:numPr>
                <w:ilvl w:val="0"/>
                <w:numId w:val="1"/>
              </w:numPr>
              <w:jc w:val="both"/>
            </w:pPr>
            <w:r>
              <w:t>En general, el VAN de un proyecto “con deuda” es mayor que el VAN de un proyecto “sin deuda”.</w:t>
            </w:r>
          </w:p>
        </w:tc>
        <w:tc>
          <w:tcPr>
            <w:tcW w:w="733" w:type="dxa"/>
          </w:tcPr>
          <w:p w:rsidR="00C8436E" w:rsidRDefault="00C8436E" w:rsidP="001F6DC2">
            <w:pPr>
              <w:jc w:val="both"/>
              <w:rPr>
                <w:b/>
              </w:rPr>
            </w:pPr>
          </w:p>
        </w:tc>
      </w:tr>
      <w:tr w:rsidR="00C8436E" w:rsidTr="00DA654C">
        <w:tc>
          <w:tcPr>
            <w:tcW w:w="7905" w:type="dxa"/>
          </w:tcPr>
          <w:p w:rsidR="00C8436E" w:rsidRDefault="00331700" w:rsidP="00331700">
            <w:pPr>
              <w:pStyle w:val="Prrafodelista"/>
              <w:numPr>
                <w:ilvl w:val="0"/>
                <w:numId w:val="1"/>
              </w:numPr>
              <w:jc w:val="both"/>
            </w:pPr>
            <w:r>
              <w:t xml:space="preserve">Al momento de considerar la TMAR para calcular el VAN de un proyecto de inversión, un método muy aplicado para estimar dicha variable (TMAR) es  considerar a la tasa </w:t>
            </w:r>
            <w:r w:rsidR="000C7874">
              <w:t>de interés de captación de mercado.</w:t>
            </w:r>
          </w:p>
        </w:tc>
        <w:tc>
          <w:tcPr>
            <w:tcW w:w="733" w:type="dxa"/>
          </w:tcPr>
          <w:p w:rsidR="00C8436E" w:rsidRDefault="00C8436E" w:rsidP="001F6DC2">
            <w:pPr>
              <w:jc w:val="both"/>
              <w:rPr>
                <w:b/>
              </w:rPr>
            </w:pPr>
          </w:p>
        </w:tc>
      </w:tr>
      <w:tr w:rsidR="00C8436E" w:rsidTr="00DA654C">
        <w:tc>
          <w:tcPr>
            <w:tcW w:w="7905" w:type="dxa"/>
          </w:tcPr>
          <w:p w:rsidR="00C8436E" w:rsidRDefault="000C7874" w:rsidP="00DA654C">
            <w:pPr>
              <w:pStyle w:val="Prrafodelista"/>
              <w:numPr>
                <w:ilvl w:val="0"/>
                <w:numId w:val="1"/>
              </w:numPr>
              <w:jc w:val="both"/>
            </w:pPr>
            <w:r>
              <w:t>En el caso del Ecuador, para calcular el gasto de depreciación de los elementos de planta, propiedad y equipos (activos fijos), el método utilizado, es el Método de Línea Recta.</w:t>
            </w:r>
          </w:p>
        </w:tc>
        <w:tc>
          <w:tcPr>
            <w:tcW w:w="733" w:type="dxa"/>
          </w:tcPr>
          <w:p w:rsidR="00C8436E" w:rsidRDefault="00C8436E" w:rsidP="001F6DC2">
            <w:pPr>
              <w:jc w:val="both"/>
              <w:rPr>
                <w:b/>
              </w:rPr>
            </w:pPr>
          </w:p>
        </w:tc>
      </w:tr>
      <w:tr w:rsidR="00C8436E" w:rsidTr="00DA654C">
        <w:tc>
          <w:tcPr>
            <w:tcW w:w="7905" w:type="dxa"/>
          </w:tcPr>
          <w:p w:rsidR="00C8436E" w:rsidRDefault="000447DD" w:rsidP="000447DD">
            <w:pPr>
              <w:pStyle w:val="Prrafodelista"/>
              <w:numPr>
                <w:ilvl w:val="0"/>
                <w:numId w:val="1"/>
              </w:numPr>
              <w:jc w:val="both"/>
            </w:pPr>
            <w:r>
              <w:t>Al momento de construir el flujo de efectivo de un proyecto de inversión, se estila a considerar un horizonte de planeación que va desde los 5 a 10 años, dependiendo de aspectos tales como el monto del gasto de inversión inicial.</w:t>
            </w:r>
          </w:p>
        </w:tc>
        <w:tc>
          <w:tcPr>
            <w:tcW w:w="733" w:type="dxa"/>
          </w:tcPr>
          <w:p w:rsidR="00C8436E" w:rsidRDefault="00C8436E" w:rsidP="001F6DC2">
            <w:pPr>
              <w:jc w:val="both"/>
              <w:rPr>
                <w:b/>
              </w:rPr>
            </w:pPr>
          </w:p>
        </w:tc>
      </w:tr>
    </w:tbl>
    <w:p w:rsidR="00DA654C" w:rsidRPr="00DA654C" w:rsidRDefault="00DA654C" w:rsidP="001F6DC2">
      <w:pPr>
        <w:jc w:val="both"/>
        <w:rPr>
          <w:b/>
        </w:rPr>
      </w:pPr>
    </w:p>
    <w:p w:rsidR="00227DBF" w:rsidRDefault="00227DBF" w:rsidP="001F6DC2">
      <w:pPr>
        <w:jc w:val="both"/>
      </w:pPr>
    </w:p>
    <w:p w:rsidR="001F6DC2" w:rsidRDefault="001F6DC2"/>
    <w:sectPr w:rsidR="001F6DC2" w:rsidSect="00474F9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4927"/>
    <w:multiLevelType w:val="hybridMultilevel"/>
    <w:tmpl w:val="2668C5E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C2"/>
    <w:rsid w:val="000447DD"/>
    <w:rsid w:val="000C7874"/>
    <w:rsid w:val="001F6DC2"/>
    <w:rsid w:val="00227DBF"/>
    <w:rsid w:val="00331700"/>
    <w:rsid w:val="00333FB4"/>
    <w:rsid w:val="003C7DE5"/>
    <w:rsid w:val="00474F9A"/>
    <w:rsid w:val="0078329E"/>
    <w:rsid w:val="00C67682"/>
    <w:rsid w:val="00C8436E"/>
    <w:rsid w:val="00DA654C"/>
    <w:rsid w:val="00F076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A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65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A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6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D6C4-A78E-46D1-9EAB-ACFD25EE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Alvarez</dc:creator>
  <cp:keywords/>
  <dc:description/>
  <cp:lastModifiedBy>Coordinacion</cp:lastModifiedBy>
  <cp:revision>7</cp:revision>
  <dcterms:created xsi:type="dcterms:W3CDTF">2015-09-24T13:20:00Z</dcterms:created>
  <dcterms:modified xsi:type="dcterms:W3CDTF">2015-09-24T19:36:00Z</dcterms:modified>
</cp:coreProperties>
</file>