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14B1E">
      <w:pPr>
        <w:rPr>
          <w:rFonts w:ascii="Arial" w:hAnsi="Arial"/>
          <w:b/>
          <w:color w:val="000000"/>
          <w:sz w:val="24"/>
          <w:lang w:val="es-EC"/>
        </w:rPr>
      </w:pPr>
    </w:p>
    <w:p w:rsidR="00000000" w:rsidRDefault="00614B1E">
      <w:pPr>
        <w:rPr>
          <w:rFonts w:ascii="Arial" w:hAnsi="Arial"/>
          <w:b/>
          <w:color w:val="000000"/>
          <w:sz w:val="24"/>
          <w:lang w:val="es-EC"/>
        </w:rPr>
      </w:pPr>
    </w:p>
    <w:p w:rsidR="00000000" w:rsidRDefault="00614B1E">
      <w:pPr>
        <w:rPr>
          <w:rFonts w:ascii="Arial" w:hAnsi="Arial"/>
          <w:b/>
          <w:color w:val="000000"/>
          <w:sz w:val="24"/>
          <w:lang w:val="es-EC"/>
        </w:rPr>
      </w:pPr>
    </w:p>
    <w:p w:rsidR="00000000" w:rsidRDefault="00614B1E">
      <w:pPr>
        <w:rPr>
          <w:rFonts w:ascii="Arial" w:hAnsi="Arial"/>
          <w:b/>
          <w:color w:val="000000"/>
          <w:sz w:val="24"/>
          <w:lang w:val="es-EC"/>
        </w:rPr>
      </w:pPr>
    </w:p>
    <w:p w:rsidR="00000000" w:rsidRDefault="00614B1E">
      <w:pPr>
        <w:rPr>
          <w:rFonts w:ascii="Arial" w:hAnsi="Arial"/>
          <w:b/>
          <w:color w:val="000000"/>
          <w:sz w:val="24"/>
          <w:lang w:val="es-EC"/>
        </w:rPr>
      </w:pPr>
    </w:p>
    <w:p w:rsidR="00000000" w:rsidRDefault="00614B1E">
      <w:pPr>
        <w:rPr>
          <w:rFonts w:ascii="Arial" w:hAnsi="Arial"/>
          <w:b/>
          <w:color w:val="000000"/>
          <w:sz w:val="24"/>
          <w:lang w:val="es-EC"/>
        </w:rPr>
      </w:pPr>
    </w:p>
    <w:p w:rsidR="00000000" w:rsidRDefault="00614B1E">
      <w:pPr>
        <w:jc w:val="center"/>
        <w:rPr>
          <w:rFonts w:ascii="Arial" w:hAnsi="Arial"/>
          <w:b/>
          <w:color w:val="000000"/>
          <w:sz w:val="48"/>
          <w:lang w:val="es-EC"/>
        </w:rPr>
      </w:pPr>
      <w:r>
        <w:rPr>
          <w:rFonts w:ascii="Arial" w:hAnsi="Arial"/>
          <w:b/>
          <w:color w:val="000000"/>
          <w:sz w:val="48"/>
          <w:lang w:val="es-EC"/>
        </w:rPr>
        <w:t>CAPÍTULO 1</w:t>
      </w:r>
    </w:p>
    <w:p w:rsidR="00000000" w:rsidRDefault="00614B1E">
      <w:pPr>
        <w:jc w:val="center"/>
        <w:rPr>
          <w:rFonts w:ascii="Arial" w:hAnsi="Arial"/>
          <w:b/>
          <w:color w:val="000000"/>
          <w:sz w:val="24"/>
          <w:lang w:val="es-EC"/>
        </w:rPr>
      </w:pPr>
    </w:p>
    <w:p w:rsidR="00000000" w:rsidRDefault="00614B1E">
      <w:pPr>
        <w:jc w:val="center"/>
        <w:rPr>
          <w:rFonts w:ascii="Arial" w:hAnsi="Arial"/>
          <w:b/>
          <w:color w:val="000000"/>
          <w:sz w:val="24"/>
          <w:lang w:val="es-EC"/>
        </w:rPr>
      </w:pPr>
    </w:p>
    <w:p w:rsidR="00000000" w:rsidRDefault="00614B1E">
      <w:pPr>
        <w:jc w:val="center"/>
        <w:rPr>
          <w:rFonts w:ascii="Arial" w:hAnsi="Arial"/>
          <w:b/>
          <w:color w:val="000000"/>
          <w:sz w:val="24"/>
          <w:lang w:val="es-EC"/>
        </w:rPr>
      </w:pPr>
    </w:p>
    <w:p w:rsidR="00000000" w:rsidRDefault="00614B1E">
      <w:pPr>
        <w:rPr>
          <w:rFonts w:ascii="Arial" w:hAnsi="Arial"/>
          <w:b/>
          <w:color w:val="000000"/>
          <w:sz w:val="32"/>
          <w:lang w:val="es-EC"/>
        </w:rPr>
      </w:pPr>
      <w:r>
        <w:rPr>
          <w:rFonts w:ascii="Arial" w:hAnsi="Arial"/>
          <w:b/>
          <w:color w:val="000000"/>
          <w:sz w:val="32"/>
          <w:lang w:val="es-EC"/>
        </w:rPr>
        <w:t>1. ANTECEDENTES DE LA INDUSTRIA ATUNERA</w:t>
      </w:r>
    </w:p>
    <w:p w:rsidR="00000000" w:rsidRDefault="00614B1E">
      <w:pPr>
        <w:ind w:left="426"/>
        <w:rPr>
          <w:rFonts w:ascii="Arial" w:hAnsi="Arial"/>
          <w:b/>
          <w:color w:val="000000"/>
          <w:sz w:val="24"/>
          <w:lang w:val="es-EC"/>
        </w:rPr>
      </w:pPr>
    </w:p>
    <w:p w:rsidR="00000000" w:rsidRDefault="00614B1E">
      <w:pPr>
        <w:ind w:left="426"/>
        <w:rPr>
          <w:rFonts w:ascii="Arial" w:hAnsi="Arial"/>
          <w:b/>
          <w:color w:val="000000"/>
          <w:sz w:val="24"/>
          <w:lang w:val="es-EC"/>
        </w:rPr>
      </w:pPr>
    </w:p>
    <w:p w:rsidR="00000000" w:rsidRDefault="00614B1E">
      <w:pPr>
        <w:ind w:left="426"/>
        <w:rPr>
          <w:rFonts w:ascii="Arial" w:hAnsi="Arial"/>
          <w:b/>
          <w:color w:val="000000"/>
          <w:sz w:val="24"/>
          <w:lang w:val="es-EC"/>
        </w:rPr>
      </w:pPr>
    </w:p>
    <w:p w:rsidR="00000000" w:rsidRDefault="00614B1E">
      <w:pPr>
        <w:ind w:left="426"/>
        <w:rPr>
          <w:rFonts w:ascii="Arial" w:hAnsi="Arial"/>
          <w:b/>
          <w:color w:val="000000"/>
          <w:sz w:val="24"/>
          <w:lang w:val="es-EC"/>
        </w:rPr>
      </w:pPr>
    </w:p>
    <w:p w:rsidR="00000000" w:rsidRDefault="00614B1E">
      <w:pPr>
        <w:rPr>
          <w:rFonts w:ascii="Arial" w:hAnsi="Arial"/>
          <w:b/>
          <w:color w:val="000000"/>
          <w:sz w:val="24"/>
          <w:lang w:val="es-EC"/>
        </w:rPr>
      </w:pPr>
      <w:r>
        <w:rPr>
          <w:rFonts w:ascii="Arial" w:hAnsi="Arial"/>
          <w:b/>
          <w:color w:val="000000"/>
          <w:sz w:val="24"/>
          <w:lang w:val="es-EC"/>
        </w:rPr>
        <w:t>1.1 Antecedentes históricos de la industria del atún</w:t>
      </w:r>
    </w:p>
    <w:p w:rsidR="00000000" w:rsidRDefault="00614B1E">
      <w:pPr>
        <w:ind w:left="426"/>
        <w:rPr>
          <w:rFonts w:ascii="Arial" w:hAnsi="Arial"/>
          <w:color w:val="000000"/>
          <w:sz w:val="24"/>
          <w:lang w:val="es-EC"/>
        </w:rPr>
      </w:pPr>
    </w:p>
    <w:p w:rsidR="00000000" w:rsidRDefault="00614B1E">
      <w:pPr>
        <w:ind w:left="426"/>
        <w:rPr>
          <w:rFonts w:ascii="Arial" w:hAnsi="Arial"/>
          <w:color w:val="000000"/>
          <w:sz w:val="24"/>
          <w:lang w:val="es-EC"/>
        </w:rPr>
      </w:pPr>
    </w:p>
    <w:p w:rsidR="00000000" w:rsidRDefault="00614B1E">
      <w:pPr>
        <w:ind w:left="426"/>
        <w:rPr>
          <w:rFonts w:ascii="Arial" w:hAnsi="Arial"/>
          <w:color w:val="000000"/>
          <w:sz w:val="24"/>
          <w:lang w:val="es-EC"/>
        </w:rPr>
      </w:pPr>
    </w:p>
    <w:p w:rsidR="00000000" w:rsidRDefault="00614B1E">
      <w:pPr>
        <w:pStyle w:val="Sangradetextonormal"/>
        <w:spacing w:line="480" w:lineRule="auto"/>
        <w:ind w:left="425"/>
      </w:pPr>
      <w:r>
        <w:t>Aunque no hay concordancia entre las fuentes que citan los</w:t>
      </w:r>
      <w:r>
        <w:rPr>
          <w:lang w:val="es-CO"/>
        </w:rPr>
        <w:t xml:space="preserve"> orígenes</w:t>
      </w:r>
      <w:r>
        <w:t xml:space="preserve"> de la industria  atunera, se sabe que coincidió con la quiebra en la</w:t>
      </w:r>
      <w:r>
        <w:t xml:space="preserve"> industria de sardinas en California en 1903 lo que obligó a los industriales de la época a considerar otras variedades de peces para mantener sus fábricas.  California se constituyó en el principal centro atunero en el mundo pero poco a poco la actividad </w:t>
      </w:r>
      <w:r>
        <w:t>fue tomando más fuerza en aguas más meridionales y en el Océano Atlántico y luego llegó a lugares más distantes como Ecuador, Perú, Samoa y Hawai.</w:t>
      </w:r>
    </w:p>
    <w:p w:rsidR="00000000" w:rsidRDefault="00614B1E">
      <w:pPr>
        <w:ind w:left="426"/>
        <w:rPr>
          <w:rFonts w:ascii="Arial" w:hAnsi="Arial"/>
          <w:color w:val="000000"/>
          <w:sz w:val="24"/>
          <w:lang w:val="es-EC"/>
        </w:rPr>
      </w:pPr>
    </w:p>
    <w:p w:rsidR="00000000" w:rsidRDefault="00614B1E">
      <w:pPr>
        <w:ind w:left="426"/>
        <w:rPr>
          <w:rFonts w:ascii="Arial" w:hAnsi="Arial"/>
          <w:color w:val="000000"/>
          <w:sz w:val="24"/>
          <w:lang w:val="es-EC"/>
        </w:rPr>
      </w:pPr>
    </w:p>
    <w:p w:rsidR="00000000" w:rsidRDefault="00614B1E">
      <w:pPr>
        <w:rPr>
          <w:rFonts w:ascii="Arial" w:hAnsi="Arial"/>
          <w:b/>
          <w:color w:val="000000"/>
          <w:sz w:val="24"/>
          <w:lang w:val="es-EC"/>
        </w:rPr>
      </w:pPr>
      <w:r>
        <w:rPr>
          <w:rFonts w:ascii="Arial" w:hAnsi="Arial"/>
          <w:b/>
          <w:color w:val="000000"/>
          <w:sz w:val="24"/>
          <w:lang w:val="es-EC"/>
        </w:rPr>
        <w:t>1.2 Características generales del atún</w:t>
      </w:r>
    </w:p>
    <w:p w:rsidR="00000000" w:rsidRDefault="00614B1E">
      <w:pPr>
        <w:ind w:left="426"/>
        <w:rPr>
          <w:rFonts w:ascii="Arial" w:hAnsi="Arial"/>
          <w:color w:val="000000"/>
          <w:sz w:val="24"/>
          <w:lang w:val="es-EC"/>
        </w:rPr>
      </w:pPr>
    </w:p>
    <w:p w:rsidR="00000000" w:rsidRDefault="00614B1E">
      <w:pPr>
        <w:ind w:left="426"/>
        <w:rPr>
          <w:rFonts w:ascii="Arial" w:hAnsi="Arial"/>
          <w:color w:val="000000"/>
          <w:sz w:val="24"/>
          <w:lang w:val="es-EC"/>
        </w:rPr>
      </w:pPr>
    </w:p>
    <w:p w:rsidR="00000000" w:rsidRDefault="00614B1E">
      <w:pPr>
        <w:pStyle w:val="Sangradetextonormal"/>
        <w:spacing w:line="480" w:lineRule="auto"/>
        <w:ind w:left="425"/>
      </w:pPr>
      <w:r>
        <w:t>El atún es un pez óseo del orden de los perciformes y familia de l</w:t>
      </w:r>
      <w:r>
        <w:t xml:space="preserve">os túnidos. </w:t>
      </w:r>
    </w:p>
    <w:p w:rsidR="00000000" w:rsidRDefault="00614B1E">
      <w:pPr>
        <w:pStyle w:val="Sangradetextonormal"/>
        <w:spacing w:line="480" w:lineRule="auto"/>
        <w:ind w:left="425"/>
      </w:pPr>
      <w:r>
        <w:lastRenderedPageBreak/>
        <w:t>Tiene un cuerpo robusto y fusiforme, aleta caudal falciforme y de gran tamaño y de 8 a 10 pequeñas aletas bajo la segunda dorsal y detrás de la anal, la región pectoral es de color blanca azulada; el dorso, negro azulado y los flancos, grisáce</w:t>
      </w:r>
      <w:r>
        <w:t>os con manchas blancas. Su peso y tamaño depende de la variedad.</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pStyle w:val="Sangradetextonormal"/>
        <w:spacing w:line="480" w:lineRule="auto"/>
        <w:ind w:left="425"/>
      </w:pPr>
      <w:r>
        <w:t>El atún es conocido y pescado desde la antigüedad siendo uno de los de mayor tamaño que el hombre captura.  Su dispersión geográfica es bastante amplia pues se extiende por las aguas templa</w:t>
      </w:r>
      <w:r>
        <w:t>das y tropicales de todos los océanos por donde realizan sus larguísimas migraciones lo que dificulta la conservación y el control de la pesca de muchas especies.</w:t>
      </w:r>
    </w:p>
    <w:p w:rsidR="00000000" w:rsidRDefault="00614B1E">
      <w:pPr>
        <w:pStyle w:val="Sangradetextonormal"/>
      </w:pPr>
    </w:p>
    <w:p w:rsidR="00000000" w:rsidRDefault="00614B1E">
      <w:pPr>
        <w:pStyle w:val="Sangradetextonormal"/>
      </w:pPr>
    </w:p>
    <w:p w:rsidR="00000000" w:rsidRDefault="00614B1E">
      <w:pPr>
        <w:pStyle w:val="Sangradetextonormal"/>
        <w:spacing w:line="480" w:lineRule="auto"/>
        <w:ind w:left="425"/>
        <w:rPr>
          <w:b/>
        </w:rPr>
      </w:pPr>
      <w:r>
        <w:t xml:space="preserve">Las principales especies de atún comercializadas en los mercados internacionales y locales </w:t>
      </w:r>
      <w:r>
        <w:t>son el atún aleta amarilla (Yellowfin Tuna o Thunnus Albacares), el atún barrilete (Skipjack tuna), el atún barrilete negro (Black Skipjack Tuna) y el atún albacora.</w:t>
      </w:r>
    </w:p>
    <w:p w:rsidR="00000000" w:rsidRDefault="00614B1E">
      <w:pPr>
        <w:jc w:val="both"/>
        <w:rPr>
          <w:rFonts w:ascii="Arial" w:hAnsi="Arial"/>
          <w:b/>
          <w:color w:val="000000"/>
          <w:sz w:val="24"/>
          <w:lang w:val="es-EC"/>
        </w:rPr>
      </w:pPr>
    </w:p>
    <w:p w:rsidR="00000000" w:rsidRDefault="00614B1E">
      <w:pPr>
        <w:ind w:left="426"/>
        <w:jc w:val="both"/>
        <w:rPr>
          <w:rFonts w:ascii="Arial" w:hAnsi="Arial"/>
          <w:b/>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b/>
          <w:color w:val="000000"/>
          <w:sz w:val="24"/>
          <w:lang w:val="es-EC"/>
        </w:rPr>
        <w:t>Yellowfin</w:t>
      </w:r>
      <w:r>
        <w:rPr>
          <w:rFonts w:ascii="Arial" w:hAnsi="Arial"/>
          <w:color w:val="000000"/>
          <w:sz w:val="24"/>
          <w:lang w:val="es-EC"/>
        </w:rPr>
        <w:t xml:space="preserve"> (Rabil, aleta amarilla, thunnus albacares)</w:t>
      </w:r>
    </w:p>
    <w:p w:rsidR="00000000" w:rsidRDefault="00614B1E">
      <w:pPr>
        <w:jc w:val="both"/>
        <w:rPr>
          <w:rFonts w:ascii="Arial" w:hAnsi="Arial"/>
          <w:color w:val="000000"/>
          <w:sz w:val="24"/>
          <w:lang w:val="es-EC"/>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2.65pt;margin-top:10.45pt;width:136.8pt;height:66.05pt;z-index:251645440" o:regroupid="7" o:allowincell="f">
            <v:imagedata r:id="rId7" o:title=""/>
          </v:shape>
          <o:OLEObject Type="Embed" ProgID="MSPhotoEd.3" ShapeID="_x0000_s1027" DrawAspect="Content" ObjectID="_1307353625" r:id="rId8"/>
        </w:pict>
      </w:r>
    </w:p>
    <w:p w:rsidR="00000000" w:rsidRDefault="00614B1E">
      <w:pPr>
        <w:jc w:val="both"/>
        <w:rPr>
          <w:rFonts w:ascii="Arial" w:hAnsi="Arial"/>
          <w:color w:val="000000"/>
          <w:sz w:val="24"/>
          <w:lang w:val="es-EC"/>
        </w:rPr>
      </w:pPr>
    </w:p>
    <w:p w:rsidR="00000000" w:rsidRDefault="00614B1E">
      <w:pPr>
        <w:jc w:val="both"/>
        <w:rPr>
          <w:rFonts w:ascii="Arial" w:hAnsi="Arial"/>
          <w:color w:val="000000"/>
          <w:sz w:val="24"/>
          <w:lang w:val="es-EC"/>
        </w:rPr>
      </w:pPr>
    </w:p>
    <w:p w:rsidR="00000000" w:rsidRDefault="00614B1E">
      <w:pPr>
        <w:jc w:val="both"/>
        <w:rPr>
          <w:rFonts w:ascii="Arial" w:hAnsi="Arial"/>
          <w:color w:val="000000"/>
          <w:sz w:val="24"/>
          <w:lang w:val="es-EC"/>
        </w:rPr>
      </w:pPr>
    </w:p>
    <w:p w:rsidR="00000000" w:rsidRDefault="00614B1E">
      <w:pPr>
        <w:jc w:val="both"/>
        <w:rPr>
          <w:rFonts w:ascii="Arial" w:hAnsi="Arial"/>
          <w:color w:val="000000"/>
          <w:sz w:val="24"/>
          <w:lang w:val="es-EC"/>
        </w:rPr>
      </w:pPr>
    </w:p>
    <w:p w:rsidR="00000000" w:rsidRDefault="00614B1E">
      <w:pPr>
        <w:jc w:val="both"/>
        <w:rPr>
          <w:rFonts w:ascii="Arial" w:hAnsi="Arial"/>
          <w:color w:val="000000"/>
          <w:sz w:val="24"/>
          <w:lang w:val="es-EC"/>
        </w:rPr>
      </w:pPr>
      <w:r>
        <w:rPr>
          <w:rFonts w:ascii="Arial" w:hAnsi="Arial"/>
          <w:noProof/>
          <w:color w:val="000000"/>
        </w:rPr>
        <w:pict>
          <v:shapetype id="_x0000_t202" coordsize="21600,21600" o:spt="202" path="m,l,21600r21600,l21600,xe">
            <v:stroke joinstyle="miter"/>
            <v:path gradientshapeok="t" o:connecttype="rect"/>
          </v:shapetype>
          <v:shape id="_x0000_s1028" type="#_x0000_t202" style="position:absolute;left:0;text-align:left;margin-left:133.65pt;margin-top:4.45pt;width:154.8pt;height:21.6pt;z-index:251646464" o:regroupid="7" o:allowincell="f" stroked="f">
            <v:textbox style="mso-next-textbox:#_x0000_s1028">
              <w:txbxContent>
                <w:p w:rsidR="00000000" w:rsidRDefault="00614B1E">
                  <w:pPr>
                    <w:pStyle w:val="Ttulo3"/>
                  </w:pPr>
                  <w:r>
                    <w:t>Fig. 1  Atún Yellowfin</w:t>
                  </w:r>
                </w:p>
              </w:txbxContent>
            </v:textbox>
          </v:shape>
        </w:pict>
      </w:r>
    </w:p>
    <w:p w:rsidR="00000000" w:rsidRDefault="00614B1E">
      <w:pPr>
        <w:pStyle w:val="Sangradetextonormal"/>
        <w:spacing w:line="480" w:lineRule="auto"/>
        <w:ind w:left="425"/>
      </w:pPr>
      <w:r>
        <w:lastRenderedPageBreak/>
        <w:t xml:space="preserve">Es el atún más grande, más </w:t>
      </w:r>
      <w:r>
        <w:t>capturado y de mayor valor.  Toma su nombre de la coloración de sus aletas y puede alcanzar un peso de hasta 400 libras.  Es el tipo de atún que da carne cocida más blanca después de la albacora, de ahí su alto valor comercial. Se encuentra distribuido por</w:t>
      </w:r>
      <w:r>
        <w:t xml:space="preserve"> las aguas tropicales y subtropicales de los océanos Indico, Atlántico y Pacífico en cuyas costas orientales se realiza la mayor cantidad de su pesca comercial.   Se lo suele localizar en bancos junto a manchas de delfines que frecuentemente nadan por enci</w:t>
      </w:r>
      <w:r>
        <w:t>ma del atún.</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pStyle w:val="Sangradetextonormal"/>
        <w:spacing w:line="480" w:lineRule="auto"/>
        <w:ind w:left="425"/>
      </w:pPr>
      <w:r>
        <w:rPr>
          <w:b/>
        </w:rPr>
        <w:t>Bigeye</w:t>
      </w:r>
      <w:r>
        <w:t xml:space="preserve"> (Ojo grande, patudo, thunnus obesus)</w:t>
      </w:r>
    </w:p>
    <w:p w:rsidR="00000000" w:rsidRDefault="00614B1E">
      <w:pPr>
        <w:pStyle w:val="Sangradetextonormal"/>
      </w:pPr>
      <w:r>
        <w:rPr>
          <w:noProof/>
          <w:sz w:val="20"/>
        </w:rPr>
        <w:pict>
          <v:shape id="_x0000_s1030" type="#_x0000_t75" style="position:absolute;left:0;text-align:left;margin-left:142.65pt;margin-top:6.8pt;width:136.9pt;height:70.8pt;z-index:251647488" o:regroupid="6" o:allowincell="f">
            <v:imagedata r:id="rId9" o:title=""/>
          </v:shape>
          <o:OLEObject Type="Embed" ProgID="MSPhotoEd.3" ShapeID="_x0000_s1030" DrawAspect="Content" ObjectID="_1307353626" r:id="rId10"/>
        </w:pict>
      </w:r>
    </w:p>
    <w:p w:rsidR="00000000" w:rsidRDefault="00614B1E">
      <w:pPr>
        <w:pStyle w:val="Sangradetextonormal"/>
        <w:rPr>
          <w:noProof/>
          <w:sz w:val="20"/>
        </w:rPr>
      </w:pPr>
    </w:p>
    <w:p w:rsidR="00000000" w:rsidRDefault="00614B1E">
      <w:pPr>
        <w:pStyle w:val="Sangradetextonormal"/>
        <w:rPr>
          <w:noProof/>
          <w:sz w:val="20"/>
        </w:rPr>
      </w:pPr>
    </w:p>
    <w:p w:rsidR="00000000" w:rsidRDefault="00614B1E">
      <w:pPr>
        <w:pStyle w:val="Sangradetextonormal"/>
        <w:rPr>
          <w:noProof/>
          <w:sz w:val="20"/>
        </w:rPr>
      </w:pPr>
    </w:p>
    <w:p w:rsidR="00000000" w:rsidRDefault="00614B1E">
      <w:pPr>
        <w:pStyle w:val="Sangradetextonormal"/>
        <w:rPr>
          <w:noProof/>
          <w:sz w:val="20"/>
        </w:rPr>
      </w:pPr>
    </w:p>
    <w:p w:rsidR="00000000" w:rsidRDefault="00614B1E">
      <w:pPr>
        <w:pStyle w:val="Sangradetextonormal"/>
        <w:rPr>
          <w:noProof/>
          <w:sz w:val="20"/>
        </w:rPr>
      </w:pPr>
    </w:p>
    <w:p w:rsidR="00000000" w:rsidRDefault="00614B1E">
      <w:pPr>
        <w:pStyle w:val="Sangradetextonormal"/>
        <w:rPr>
          <w:noProof/>
          <w:sz w:val="20"/>
        </w:rPr>
      </w:pPr>
    </w:p>
    <w:p w:rsidR="00000000" w:rsidRDefault="00614B1E">
      <w:pPr>
        <w:pStyle w:val="Sangradetextonormal"/>
      </w:pPr>
      <w:r>
        <w:rPr>
          <w:noProof/>
          <w:sz w:val="20"/>
        </w:rPr>
        <w:pict>
          <v:shape id="_x0000_s1031" type="#_x0000_t202" style="position:absolute;left:0;text-align:left;margin-left:142.65pt;margin-top:5.05pt;width:2in;height:21.6pt;z-index:251648512" o:regroupid="6" o:allowincell="f" stroked="f">
            <v:textbox style="mso-next-textbox:#_x0000_s1031">
              <w:txbxContent>
                <w:p w:rsidR="00000000" w:rsidRDefault="00614B1E">
                  <w:pPr>
                    <w:rPr>
                      <w:rFonts w:ascii="Arial" w:hAnsi="Arial"/>
                      <w:b/>
                      <w:sz w:val="24"/>
                      <w:lang w:val="es-EC"/>
                    </w:rPr>
                  </w:pPr>
                  <w:r>
                    <w:rPr>
                      <w:rFonts w:ascii="Arial" w:hAnsi="Arial"/>
                      <w:b/>
                      <w:sz w:val="24"/>
                      <w:lang w:val="es-EC"/>
                    </w:rPr>
                    <w:t>Fig. 2  Atún Patudo</w:t>
                  </w:r>
                </w:p>
              </w:txbxContent>
            </v:textbox>
          </v:shape>
        </w:pict>
      </w:r>
    </w:p>
    <w:p w:rsidR="00000000" w:rsidRDefault="00614B1E">
      <w:pPr>
        <w:pStyle w:val="Sangradetextonormal"/>
      </w:pPr>
    </w:p>
    <w:p w:rsidR="00000000" w:rsidRDefault="00614B1E">
      <w:pPr>
        <w:pStyle w:val="Sangradetextonormal"/>
      </w:pPr>
    </w:p>
    <w:p w:rsidR="00000000" w:rsidRDefault="00614B1E">
      <w:pPr>
        <w:pStyle w:val="Sangradetextonormal"/>
        <w:spacing w:line="480" w:lineRule="auto"/>
        <w:ind w:left="425"/>
      </w:pPr>
    </w:p>
    <w:p w:rsidR="00000000" w:rsidRDefault="00614B1E">
      <w:pPr>
        <w:pStyle w:val="Sangradetextonormal"/>
        <w:spacing w:line="480" w:lineRule="auto"/>
        <w:ind w:left="425"/>
      </w:pPr>
      <w:r>
        <w:t>Es la segunda especie más conocida y comercializada.  Es similar en apariencia al Yellowfin y se diferencia por su cuerpo regordete, cabeza alargada y ojos notoriamente más grandes.  E</w:t>
      </w:r>
      <w:r>
        <w:t>stá distribuido en las aguas calientes de todos los océanos.</w:t>
      </w:r>
    </w:p>
    <w:p w:rsidR="00000000" w:rsidRDefault="00614B1E">
      <w:pPr>
        <w:pStyle w:val="Sangradetextonormal"/>
        <w:rPr>
          <w:b/>
        </w:rPr>
      </w:pPr>
    </w:p>
    <w:p w:rsidR="00000000" w:rsidRDefault="00614B1E">
      <w:pPr>
        <w:pStyle w:val="Sangradetextonormal"/>
        <w:rPr>
          <w:b/>
        </w:rPr>
      </w:pPr>
    </w:p>
    <w:p w:rsidR="00000000" w:rsidRDefault="00614B1E">
      <w:pPr>
        <w:pStyle w:val="Sangradetextonormal"/>
        <w:rPr>
          <w:b/>
        </w:rPr>
      </w:pPr>
    </w:p>
    <w:p w:rsidR="00000000" w:rsidRDefault="00614B1E">
      <w:pPr>
        <w:spacing w:line="480" w:lineRule="auto"/>
        <w:ind w:left="425"/>
        <w:jc w:val="both"/>
        <w:rPr>
          <w:rFonts w:ascii="Arial" w:hAnsi="Arial"/>
          <w:b/>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b/>
          <w:color w:val="000000"/>
          <w:sz w:val="24"/>
          <w:lang w:val="es-EC"/>
        </w:rPr>
        <w:lastRenderedPageBreak/>
        <w:t>Skipjack</w:t>
      </w:r>
      <w:r>
        <w:rPr>
          <w:rFonts w:ascii="Arial" w:hAnsi="Arial"/>
          <w:color w:val="000000"/>
          <w:sz w:val="24"/>
          <w:lang w:val="es-EC"/>
        </w:rPr>
        <w:t xml:space="preserve"> (Listado, bonito, barrilete, Katsuwonus pelamis)</w:t>
      </w:r>
    </w:p>
    <w:p w:rsidR="00000000" w:rsidRPr="00CE65AE" w:rsidRDefault="00614B1E">
      <w:pPr>
        <w:ind w:left="426"/>
        <w:jc w:val="both"/>
        <w:rPr>
          <w:rFonts w:ascii="Arial" w:hAnsi="Arial"/>
          <w:noProof/>
          <w:color w:val="000000"/>
          <w:lang w:val="es-ES"/>
        </w:rPr>
      </w:pPr>
      <w:r>
        <w:rPr>
          <w:rFonts w:ascii="Arial" w:hAnsi="Arial"/>
          <w:noProof/>
          <w:color w:val="000000"/>
        </w:rPr>
        <w:pict>
          <v:group id="_x0000_s1064" style="position:absolute;left:0;text-align:left;margin-left:124.65pt;margin-top:3.2pt;width:153pt;height:100.8pt;z-index:251658752" coordorigin="4761,2884" coordsize="3060,2016" o:allowincell="f">
            <v:shape id="_x0000_s1056" type="#_x0000_t75" style="position:absolute;left:4761;top:2884;width:2767;height:1479" o:regroupid="5">
              <v:imagedata r:id="rId11" o:title=""/>
            </v:shape>
            <v:shape id="_x0000_s1057" type="#_x0000_t202" style="position:absolute;left:4905;top:4468;width:2916;height:432" o:regroupid="5" stroked="f">
              <v:textbox style="mso-next-textbox:#_x0000_s1057">
                <w:txbxContent>
                  <w:p w:rsidR="00000000" w:rsidRDefault="00614B1E">
                    <w:pPr>
                      <w:rPr>
                        <w:rFonts w:ascii="Arial" w:hAnsi="Arial"/>
                        <w:b/>
                        <w:sz w:val="24"/>
                      </w:rPr>
                    </w:pPr>
                    <w:r>
                      <w:rPr>
                        <w:rFonts w:ascii="Arial" w:hAnsi="Arial"/>
                        <w:b/>
                        <w:sz w:val="24"/>
                      </w:rPr>
                      <w:t>Fig. 3 Atún Skipjack</w:t>
                    </w:r>
                  </w:p>
                </w:txbxContent>
              </v:textbox>
            </v:shape>
          </v:group>
          <o:OLEObject Type="Embed" ProgID="MSPhotoEd.3" ShapeID="_x0000_s1056" DrawAspect="Content" ObjectID="_1307353627" r:id="rId12"/>
        </w:pict>
      </w:r>
    </w:p>
    <w:p w:rsidR="00000000" w:rsidRPr="00CE65AE" w:rsidRDefault="00614B1E">
      <w:pPr>
        <w:ind w:left="426"/>
        <w:jc w:val="both"/>
        <w:rPr>
          <w:rFonts w:ascii="Arial" w:hAnsi="Arial"/>
          <w:noProof/>
          <w:color w:val="000000"/>
          <w:lang w:val="es-ES"/>
        </w:rPr>
      </w:pPr>
    </w:p>
    <w:p w:rsidR="00000000" w:rsidRPr="00CE65AE" w:rsidRDefault="00614B1E">
      <w:pPr>
        <w:ind w:left="426"/>
        <w:jc w:val="both"/>
        <w:rPr>
          <w:rFonts w:ascii="Arial" w:hAnsi="Arial"/>
          <w:noProof/>
          <w:color w:val="000000"/>
          <w:lang w:val="es-ES"/>
        </w:rPr>
      </w:pPr>
    </w:p>
    <w:p w:rsidR="00000000" w:rsidRPr="00CE65AE" w:rsidRDefault="00614B1E">
      <w:pPr>
        <w:ind w:left="426"/>
        <w:jc w:val="both"/>
        <w:rPr>
          <w:rFonts w:ascii="Arial" w:hAnsi="Arial"/>
          <w:noProof/>
          <w:color w:val="000000"/>
          <w:lang w:val="es-ES"/>
        </w:rPr>
      </w:pPr>
    </w:p>
    <w:p w:rsidR="00000000" w:rsidRPr="00CE65AE" w:rsidRDefault="00614B1E">
      <w:pPr>
        <w:ind w:left="426"/>
        <w:jc w:val="both"/>
        <w:rPr>
          <w:rFonts w:ascii="Arial" w:hAnsi="Arial"/>
          <w:noProof/>
          <w:color w:val="000000"/>
          <w:lang w:val="es-ES"/>
        </w:rPr>
      </w:pPr>
    </w:p>
    <w:p w:rsidR="00000000" w:rsidRPr="00CE65AE" w:rsidRDefault="00614B1E">
      <w:pPr>
        <w:ind w:left="426"/>
        <w:jc w:val="both"/>
        <w:rPr>
          <w:rFonts w:ascii="Arial" w:hAnsi="Arial"/>
          <w:noProof/>
          <w:color w:val="000000"/>
          <w:lang w:val="es-ES"/>
        </w:rPr>
      </w:pPr>
    </w:p>
    <w:p w:rsidR="00000000" w:rsidRPr="00CE65AE" w:rsidRDefault="00614B1E">
      <w:pPr>
        <w:ind w:left="426"/>
        <w:jc w:val="both"/>
        <w:rPr>
          <w:rFonts w:ascii="Arial" w:hAnsi="Arial"/>
          <w:noProof/>
          <w:color w:val="000000"/>
          <w:lang w:val="es-ES"/>
        </w:rPr>
      </w:pPr>
    </w:p>
    <w:p w:rsidR="00000000" w:rsidRPr="00CE65AE" w:rsidRDefault="00614B1E">
      <w:pPr>
        <w:ind w:left="426"/>
        <w:jc w:val="both"/>
        <w:rPr>
          <w:rFonts w:ascii="Arial" w:hAnsi="Arial"/>
          <w:noProof/>
          <w:color w:val="000000"/>
          <w:lang w:val="es-ES"/>
        </w:rPr>
      </w:pP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El atún barrilete está ampliamente distribuido alrededor del Océano Pacífico y es la especie más pequeña de los atunes qu</w:t>
      </w:r>
      <w:r>
        <w:rPr>
          <w:rFonts w:ascii="Arial" w:hAnsi="Arial"/>
          <w:color w:val="000000"/>
          <w:sz w:val="24"/>
          <w:lang w:val="es-EC"/>
        </w:rPr>
        <w:t>e se procesan para conservas aunque ocupa el tercer lugar en pesca.  Su peso promedio es de 6 a 12 libras  habiendo ejemplares que llegan a las 20 libras. Por las características de su carne que es más oscura, de sabor más fuerte y aceitosa que de las espe</w:t>
      </w:r>
      <w:r>
        <w:rPr>
          <w:rFonts w:ascii="Arial" w:hAnsi="Arial"/>
          <w:color w:val="000000"/>
          <w:sz w:val="24"/>
          <w:lang w:val="es-EC"/>
        </w:rPr>
        <w:t>cies anteriormente nombradas, su valor comercial es menor. Los métodos más comúnmente empleados para su captura son el de cerco y cañeros.</w:t>
      </w:r>
    </w:p>
    <w:p w:rsidR="00000000" w:rsidRDefault="00614B1E">
      <w:pPr>
        <w:spacing w:line="480" w:lineRule="auto"/>
        <w:ind w:left="425"/>
        <w:jc w:val="both"/>
        <w:rPr>
          <w:rFonts w:ascii="Arial" w:hAnsi="Arial"/>
          <w:color w:val="000000"/>
          <w:sz w:val="24"/>
          <w:lang w:val="es-EC"/>
        </w:rPr>
      </w:pPr>
    </w:p>
    <w:p w:rsidR="00000000" w:rsidRDefault="00614B1E">
      <w:pPr>
        <w:jc w:val="both"/>
        <w:rPr>
          <w:rFonts w:ascii="Arial" w:hAnsi="Arial"/>
          <w:b/>
          <w:color w:val="000000"/>
          <w:sz w:val="24"/>
          <w:lang w:val="es-EC"/>
        </w:rPr>
      </w:pPr>
      <w:r>
        <w:rPr>
          <w:rFonts w:ascii="Arial" w:hAnsi="Arial"/>
          <w:b/>
          <w:color w:val="000000"/>
          <w:sz w:val="24"/>
          <w:lang w:val="es-EC"/>
        </w:rPr>
        <w:t>1.3 Situación del mercado del atún a nivel internacional</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La pesca del atún a nivel mundial ha ido en aumento dura</w:t>
      </w:r>
      <w:r>
        <w:rPr>
          <w:rFonts w:ascii="Arial" w:hAnsi="Arial"/>
          <w:color w:val="000000"/>
          <w:sz w:val="24"/>
          <w:lang w:val="es-EC"/>
        </w:rPr>
        <w:t xml:space="preserve">nte los últimos 15 años siendo Japón , Taiwán, España, Indonesia, Corea y Filipinas los principales países dedicados a la actividad.  </w:t>
      </w:r>
    </w:p>
    <w:p w:rsidR="00000000" w:rsidRDefault="00CE65AE">
      <w:pPr>
        <w:rPr>
          <w:rFonts w:ascii="Arial" w:hAnsi="Arial"/>
          <w:b/>
          <w:color w:val="000000"/>
          <w:sz w:val="24"/>
          <w:lang w:val="es-EC"/>
        </w:rPr>
      </w:pPr>
      <w:r>
        <w:rPr>
          <w:rFonts w:ascii="Arial" w:hAnsi="Arial"/>
          <w:b/>
          <w:noProof/>
          <w:color w:val="000000"/>
          <w:sz w:val="24"/>
          <w:lang w:val="es-ES"/>
        </w:rPr>
        <w:lastRenderedPageBreak/>
        <w:drawing>
          <wp:anchor distT="0" distB="0" distL="114300" distR="114300" simplePos="0" relativeHeight="251660800" behindDoc="0" locked="0" layoutInCell="0" allowOverlap="1">
            <wp:simplePos x="0" y="0"/>
            <wp:positionH relativeFrom="column">
              <wp:posOffset>440055</wp:posOffset>
            </wp:positionH>
            <wp:positionV relativeFrom="paragraph">
              <wp:posOffset>162560</wp:posOffset>
            </wp:positionV>
            <wp:extent cx="5001260" cy="2261870"/>
            <wp:effectExtent l="0" t="0" r="0" b="0"/>
            <wp:wrapTopAndBottom/>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000000" w:rsidRDefault="00614B1E">
      <w:pPr>
        <w:ind w:left="1418"/>
        <w:rPr>
          <w:rFonts w:ascii="Arial" w:hAnsi="Arial"/>
          <w:b/>
          <w:color w:val="000000"/>
          <w:sz w:val="24"/>
          <w:lang w:val="es-EC"/>
        </w:rPr>
      </w:pPr>
      <w:r>
        <w:rPr>
          <w:rFonts w:ascii="Arial" w:hAnsi="Arial"/>
          <w:b/>
          <w:color w:val="000000"/>
          <w:sz w:val="24"/>
          <w:lang w:val="es-EC"/>
        </w:rPr>
        <w:t>Gráfico 1   Pesca de atún por año (1000 TM)</w:t>
      </w:r>
    </w:p>
    <w:p w:rsidR="00000000" w:rsidRDefault="00614B1E">
      <w:pPr>
        <w:ind w:left="1418"/>
        <w:rPr>
          <w:rFonts w:ascii="Arial" w:hAnsi="Arial"/>
          <w:b/>
          <w:color w:val="000000"/>
          <w:sz w:val="24"/>
          <w:lang w:val="es-EC"/>
        </w:rPr>
      </w:pPr>
    </w:p>
    <w:p w:rsidR="00000000" w:rsidRDefault="00614B1E">
      <w:pPr>
        <w:ind w:left="2552"/>
        <w:rPr>
          <w:rFonts w:ascii="Arial" w:hAnsi="Arial"/>
          <w:color w:val="000000"/>
        </w:rPr>
      </w:pPr>
      <w:r>
        <w:rPr>
          <w:rFonts w:ascii="Arial" w:hAnsi="Arial"/>
          <w:color w:val="000000"/>
        </w:rPr>
        <w:t>Fuente: Global World Tuna Markets</w:t>
      </w:r>
    </w:p>
    <w:p w:rsidR="00000000" w:rsidRDefault="00614B1E">
      <w:pPr>
        <w:ind w:left="426"/>
        <w:jc w:val="both"/>
        <w:rPr>
          <w:rFonts w:ascii="Arial" w:hAnsi="Arial"/>
          <w:color w:val="000000"/>
          <w:sz w:val="24"/>
        </w:rPr>
      </w:pPr>
    </w:p>
    <w:p w:rsidR="00000000" w:rsidRDefault="00614B1E">
      <w:pPr>
        <w:ind w:left="426"/>
        <w:jc w:val="both"/>
        <w:rPr>
          <w:rFonts w:ascii="Arial" w:hAnsi="Arial"/>
          <w:color w:val="000000"/>
          <w:sz w:val="24"/>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99"/>
        <w:gridCol w:w="1299"/>
        <w:gridCol w:w="1300"/>
        <w:gridCol w:w="1299"/>
        <w:gridCol w:w="1299"/>
        <w:gridCol w:w="1300"/>
      </w:tblGrid>
      <w:tr w:rsidR="00000000">
        <w:tblPrEx>
          <w:tblCellMar>
            <w:top w:w="0" w:type="dxa"/>
            <w:bottom w:w="0" w:type="dxa"/>
          </w:tblCellMar>
        </w:tblPrEx>
        <w:trPr>
          <w:trHeight w:val="397"/>
        </w:trPr>
        <w:tc>
          <w:tcPr>
            <w:tcW w:w="1299" w:type="dxa"/>
            <w:vAlign w:val="center"/>
          </w:tcPr>
          <w:p w:rsidR="00000000" w:rsidRDefault="00614B1E">
            <w:pPr>
              <w:ind w:left="426"/>
              <w:jc w:val="center"/>
              <w:rPr>
                <w:rFonts w:ascii="Arial" w:hAnsi="Arial"/>
                <w:color w:val="000000"/>
                <w:sz w:val="24"/>
              </w:rPr>
            </w:pPr>
          </w:p>
        </w:tc>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1987</w:t>
            </w:r>
          </w:p>
        </w:tc>
        <w:tc>
          <w:tcPr>
            <w:tcW w:w="1300"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1991</w:t>
            </w:r>
          </w:p>
        </w:tc>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1995</w:t>
            </w:r>
          </w:p>
        </w:tc>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1999</w:t>
            </w:r>
          </w:p>
        </w:tc>
        <w:tc>
          <w:tcPr>
            <w:tcW w:w="1300"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2002</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Japón</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690</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7</w:t>
            </w:r>
            <w:r>
              <w:rPr>
                <w:rFonts w:ascii="Arial" w:hAnsi="Arial"/>
                <w:color w:val="000000"/>
                <w:sz w:val="24"/>
                <w:lang w:val="es-EC"/>
              </w:rPr>
              <w:t>17</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628</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598</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561</w:t>
            </w:r>
          </w:p>
        </w:tc>
      </w:tr>
      <w:tr w:rsidR="00000000">
        <w:tblPrEx>
          <w:tblCellMar>
            <w:top w:w="0" w:type="dxa"/>
            <w:bottom w:w="0" w:type="dxa"/>
          </w:tblCellMar>
        </w:tblPrEx>
        <w:trPr>
          <w:trHeight w:val="397"/>
        </w:trPr>
        <w:tc>
          <w:tcPr>
            <w:tcW w:w="1299" w:type="dxa"/>
            <w:vAlign w:val="center"/>
          </w:tcPr>
          <w:p w:rsidR="00000000" w:rsidRDefault="00614B1E">
            <w:pPr>
              <w:pStyle w:val="Ttulo1"/>
              <w:ind w:left="0"/>
            </w:pPr>
            <w:r>
              <w:t>Taiwán</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191</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214</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363</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405</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496</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España</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205</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270</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295</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306</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277</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Indonesia</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103</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133</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160</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245</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406</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Corea</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131</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267</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218</w:t>
            </w:r>
          </w:p>
        </w:tc>
        <w:tc>
          <w:tcPr>
            <w:tcW w:w="1299" w:type="dxa"/>
            <w:vAlign w:val="center"/>
          </w:tcPr>
          <w:p w:rsidR="00000000" w:rsidRDefault="00614B1E">
            <w:pPr>
              <w:jc w:val="center"/>
              <w:rPr>
                <w:rFonts w:ascii="Arial" w:hAnsi="Arial"/>
                <w:color w:val="000000"/>
                <w:sz w:val="24"/>
                <w:lang w:val="es-EC"/>
              </w:rPr>
            </w:pPr>
            <w:r>
              <w:rPr>
                <w:rFonts w:ascii="Arial" w:hAnsi="Arial"/>
                <w:color w:val="000000"/>
                <w:sz w:val="24"/>
                <w:lang w:val="es-EC"/>
              </w:rPr>
              <w:t>182</w:t>
            </w:r>
          </w:p>
        </w:tc>
        <w:tc>
          <w:tcPr>
            <w:tcW w:w="1300" w:type="dxa"/>
            <w:vAlign w:val="center"/>
          </w:tcPr>
          <w:p w:rsidR="00000000" w:rsidRDefault="00614B1E">
            <w:pPr>
              <w:jc w:val="center"/>
              <w:rPr>
                <w:rFonts w:ascii="Arial" w:hAnsi="Arial"/>
                <w:color w:val="000000"/>
                <w:sz w:val="24"/>
                <w:lang w:val="es-EC"/>
              </w:rPr>
            </w:pPr>
            <w:r>
              <w:rPr>
                <w:rFonts w:ascii="Arial" w:hAnsi="Arial"/>
                <w:color w:val="000000"/>
                <w:sz w:val="24"/>
                <w:lang w:val="es-EC"/>
              </w:rPr>
              <w:t>258</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TOTAL</w:t>
            </w:r>
          </w:p>
        </w:tc>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2.406</w:t>
            </w:r>
          </w:p>
        </w:tc>
        <w:tc>
          <w:tcPr>
            <w:tcW w:w="1300"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2.991</w:t>
            </w:r>
          </w:p>
        </w:tc>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3.269</w:t>
            </w:r>
          </w:p>
        </w:tc>
        <w:tc>
          <w:tcPr>
            <w:tcW w:w="1299"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3.782</w:t>
            </w:r>
          </w:p>
        </w:tc>
        <w:tc>
          <w:tcPr>
            <w:tcW w:w="1300"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4.102</w:t>
            </w:r>
          </w:p>
        </w:tc>
      </w:tr>
    </w:tbl>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Japón es el país que se mantiene con el mayor volumen de pesca, no obstante ha reducid</w:t>
      </w:r>
      <w:r>
        <w:rPr>
          <w:rFonts w:ascii="Arial" w:hAnsi="Arial"/>
          <w:color w:val="000000"/>
          <w:sz w:val="24"/>
          <w:lang w:val="es-EC"/>
        </w:rPr>
        <w:t>o paulatinamente las capturas.  Por otra parte Taiwan es el país que más ha incrementado las capturas durante los últimos 10 años.</w:t>
      </w: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lastRenderedPageBreak/>
        <w:t>El comercio del atún constituye actualmente un 8,5% en valor del total del mercado de especies marinas, convirtiéndose en el</w:t>
      </w:r>
      <w:r>
        <w:rPr>
          <w:rFonts w:ascii="Arial" w:hAnsi="Arial"/>
          <w:color w:val="000000"/>
          <w:sz w:val="24"/>
          <w:lang w:val="es-EC"/>
        </w:rPr>
        <w:t xml:space="preserve"> tercer producto en importancia después del lenguado y el camarón.</w:t>
      </w:r>
    </w:p>
    <w:p w:rsidR="00000000" w:rsidRDefault="00614B1E">
      <w:pPr>
        <w:ind w:left="426"/>
        <w:jc w:val="center"/>
        <w:rPr>
          <w:rFonts w:ascii="Arial" w:hAnsi="Arial"/>
          <w:b/>
          <w:color w:val="000000"/>
          <w:sz w:val="24"/>
          <w:lang w:val="es-EC"/>
        </w:rPr>
      </w:pPr>
    </w:p>
    <w:p w:rsidR="00000000" w:rsidRDefault="00CE65AE">
      <w:pPr>
        <w:ind w:left="426"/>
        <w:jc w:val="center"/>
        <w:rPr>
          <w:rFonts w:ascii="Arial" w:hAnsi="Arial"/>
          <w:b/>
          <w:color w:val="000000"/>
          <w:sz w:val="24"/>
          <w:lang w:val="es-EC"/>
        </w:rPr>
      </w:pPr>
      <w:r>
        <w:rPr>
          <w:rFonts w:ascii="Arial" w:hAnsi="Arial"/>
          <w:b/>
          <w:noProof/>
          <w:color w:val="000000"/>
          <w:sz w:val="24"/>
          <w:lang w:val="es-ES"/>
        </w:rPr>
        <w:drawing>
          <wp:anchor distT="0" distB="0" distL="114300" distR="114300" simplePos="0" relativeHeight="251661824" behindDoc="0" locked="0" layoutInCell="0" allowOverlap="1">
            <wp:simplePos x="0" y="0"/>
            <wp:positionH relativeFrom="column">
              <wp:posOffset>-17145</wp:posOffset>
            </wp:positionH>
            <wp:positionV relativeFrom="paragraph">
              <wp:posOffset>-35560</wp:posOffset>
            </wp:positionV>
            <wp:extent cx="5329555" cy="2526030"/>
            <wp:effectExtent l="0" t="0" r="0" b="0"/>
            <wp:wrapTopAndBottom/>
            <wp:docPr id="42" name="Objet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00000" w:rsidRDefault="00614B1E">
      <w:pPr>
        <w:ind w:left="425"/>
        <w:jc w:val="center"/>
        <w:rPr>
          <w:rFonts w:ascii="Arial" w:hAnsi="Arial"/>
          <w:color w:val="000000"/>
          <w:lang w:val="es-EC"/>
        </w:rPr>
      </w:pPr>
      <w:r>
        <w:rPr>
          <w:rFonts w:ascii="Arial" w:hAnsi="Arial"/>
          <w:b/>
          <w:color w:val="000000"/>
          <w:sz w:val="24"/>
          <w:lang w:val="es-EC"/>
        </w:rPr>
        <w:t>Gráfico 2  Exportaciones atún vs Exportaciones pesqueras    (millones de dólares)</w:t>
      </w:r>
      <w:r>
        <w:rPr>
          <w:rFonts w:ascii="Arial" w:hAnsi="Arial"/>
          <w:color w:val="000000"/>
          <w:lang w:val="es-EC"/>
        </w:rPr>
        <w:t xml:space="preserve"> </w:t>
      </w:r>
    </w:p>
    <w:p w:rsidR="00000000" w:rsidRDefault="00614B1E">
      <w:pPr>
        <w:ind w:left="425"/>
        <w:jc w:val="center"/>
        <w:rPr>
          <w:rFonts w:ascii="Arial" w:hAnsi="Arial"/>
          <w:color w:val="000000"/>
          <w:lang w:val="es-EC"/>
        </w:rPr>
      </w:pPr>
      <w:r>
        <w:rPr>
          <w:rFonts w:ascii="Arial" w:hAnsi="Arial"/>
          <w:color w:val="000000"/>
          <w:lang w:val="es-EC"/>
        </w:rPr>
        <w:t xml:space="preserve">                                    </w:t>
      </w:r>
    </w:p>
    <w:p w:rsidR="00000000" w:rsidRDefault="00614B1E">
      <w:pPr>
        <w:jc w:val="center"/>
        <w:rPr>
          <w:rFonts w:ascii="Arial" w:hAnsi="Arial"/>
          <w:b/>
          <w:color w:val="000000"/>
          <w:sz w:val="24"/>
        </w:rPr>
      </w:pPr>
      <w:r>
        <w:rPr>
          <w:rFonts w:ascii="Arial" w:hAnsi="Arial"/>
          <w:color w:val="000000"/>
        </w:rPr>
        <w:t>Fuente: Global World Tuna Markets</w:t>
      </w:r>
    </w:p>
    <w:p w:rsidR="00000000" w:rsidRDefault="00614B1E">
      <w:pPr>
        <w:rPr>
          <w:rFonts w:ascii="Arial" w:hAnsi="Arial"/>
          <w:b/>
          <w:color w:val="000000"/>
          <w:sz w:val="24"/>
        </w:rPr>
      </w:pPr>
    </w:p>
    <w:p w:rsidR="00000000" w:rsidRDefault="00614B1E">
      <w:pPr>
        <w:rPr>
          <w:rFonts w:ascii="Arial" w:hAnsi="Arial"/>
          <w:b/>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19"/>
        <w:gridCol w:w="1079"/>
        <w:gridCol w:w="1300"/>
        <w:gridCol w:w="1299"/>
        <w:gridCol w:w="1299"/>
      </w:tblGrid>
      <w:tr w:rsidR="00000000">
        <w:tblPrEx>
          <w:tblCellMar>
            <w:top w:w="0" w:type="dxa"/>
            <w:bottom w:w="0" w:type="dxa"/>
          </w:tblCellMar>
        </w:tblPrEx>
        <w:trPr>
          <w:trHeight w:val="397"/>
          <w:jc w:val="center"/>
        </w:trPr>
        <w:tc>
          <w:tcPr>
            <w:tcW w:w="1519" w:type="dxa"/>
            <w:vAlign w:val="center"/>
          </w:tcPr>
          <w:p w:rsidR="00000000" w:rsidRDefault="00614B1E">
            <w:pPr>
              <w:jc w:val="center"/>
              <w:rPr>
                <w:rFonts w:ascii="Arial" w:hAnsi="Arial"/>
                <w:sz w:val="24"/>
              </w:rPr>
            </w:pPr>
          </w:p>
        </w:tc>
        <w:tc>
          <w:tcPr>
            <w:tcW w:w="1079" w:type="dxa"/>
            <w:vAlign w:val="center"/>
          </w:tcPr>
          <w:p w:rsidR="00000000" w:rsidRDefault="00614B1E">
            <w:pPr>
              <w:jc w:val="center"/>
              <w:rPr>
                <w:rFonts w:ascii="Arial" w:hAnsi="Arial"/>
                <w:b/>
                <w:sz w:val="24"/>
                <w:lang w:val="es-EC"/>
              </w:rPr>
            </w:pPr>
            <w:r>
              <w:rPr>
                <w:rFonts w:ascii="Arial" w:hAnsi="Arial"/>
                <w:b/>
                <w:sz w:val="24"/>
                <w:lang w:val="es-EC"/>
              </w:rPr>
              <w:t>1986</w:t>
            </w:r>
          </w:p>
        </w:tc>
        <w:tc>
          <w:tcPr>
            <w:tcW w:w="1300" w:type="dxa"/>
            <w:vAlign w:val="center"/>
          </w:tcPr>
          <w:p w:rsidR="00000000" w:rsidRDefault="00614B1E">
            <w:pPr>
              <w:jc w:val="center"/>
              <w:rPr>
                <w:rFonts w:ascii="Arial" w:hAnsi="Arial"/>
                <w:b/>
                <w:sz w:val="24"/>
                <w:lang w:val="es-EC"/>
              </w:rPr>
            </w:pPr>
            <w:r>
              <w:rPr>
                <w:rFonts w:ascii="Arial" w:hAnsi="Arial"/>
                <w:b/>
                <w:sz w:val="24"/>
                <w:lang w:val="es-EC"/>
              </w:rPr>
              <w:t>1991</w:t>
            </w:r>
          </w:p>
        </w:tc>
        <w:tc>
          <w:tcPr>
            <w:tcW w:w="1299" w:type="dxa"/>
            <w:vAlign w:val="center"/>
          </w:tcPr>
          <w:p w:rsidR="00000000" w:rsidRDefault="00614B1E">
            <w:pPr>
              <w:jc w:val="center"/>
              <w:rPr>
                <w:rFonts w:ascii="Arial" w:hAnsi="Arial"/>
                <w:b/>
                <w:sz w:val="24"/>
                <w:lang w:val="es-EC"/>
              </w:rPr>
            </w:pPr>
            <w:r>
              <w:rPr>
                <w:rFonts w:ascii="Arial" w:hAnsi="Arial"/>
                <w:b/>
                <w:sz w:val="24"/>
                <w:lang w:val="es-EC"/>
              </w:rPr>
              <w:t>1996</w:t>
            </w:r>
          </w:p>
        </w:tc>
        <w:tc>
          <w:tcPr>
            <w:tcW w:w="1299" w:type="dxa"/>
            <w:vAlign w:val="center"/>
          </w:tcPr>
          <w:p w:rsidR="00000000" w:rsidRDefault="00614B1E">
            <w:pPr>
              <w:jc w:val="center"/>
              <w:rPr>
                <w:rFonts w:ascii="Arial" w:hAnsi="Arial"/>
                <w:b/>
                <w:sz w:val="24"/>
                <w:lang w:val="es-EC"/>
              </w:rPr>
            </w:pPr>
            <w:r>
              <w:rPr>
                <w:rFonts w:ascii="Arial" w:hAnsi="Arial"/>
                <w:b/>
                <w:sz w:val="24"/>
                <w:lang w:val="es-EC"/>
              </w:rPr>
              <w:t>2002</w:t>
            </w:r>
          </w:p>
        </w:tc>
      </w:tr>
      <w:tr w:rsidR="00000000">
        <w:tblPrEx>
          <w:tblCellMar>
            <w:top w:w="0" w:type="dxa"/>
            <w:bottom w:w="0" w:type="dxa"/>
          </w:tblCellMar>
        </w:tblPrEx>
        <w:trPr>
          <w:trHeight w:val="397"/>
          <w:jc w:val="center"/>
        </w:trPr>
        <w:tc>
          <w:tcPr>
            <w:tcW w:w="1519" w:type="dxa"/>
            <w:vAlign w:val="center"/>
          </w:tcPr>
          <w:p w:rsidR="00000000" w:rsidRDefault="00614B1E">
            <w:pPr>
              <w:pStyle w:val="Ttulo2"/>
            </w:pPr>
            <w:r>
              <w:t>Total</w:t>
            </w:r>
          </w:p>
        </w:tc>
        <w:tc>
          <w:tcPr>
            <w:tcW w:w="1079" w:type="dxa"/>
            <w:vAlign w:val="center"/>
          </w:tcPr>
          <w:p w:rsidR="00000000" w:rsidRDefault="00614B1E">
            <w:pPr>
              <w:jc w:val="center"/>
              <w:rPr>
                <w:rFonts w:ascii="Arial" w:hAnsi="Arial"/>
                <w:sz w:val="24"/>
                <w:lang w:val="es-EC"/>
              </w:rPr>
            </w:pPr>
            <w:r>
              <w:rPr>
                <w:rFonts w:ascii="Arial" w:hAnsi="Arial"/>
                <w:sz w:val="24"/>
                <w:lang w:val="es-EC"/>
              </w:rPr>
              <w:t>22</w:t>
            </w:r>
            <w:r>
              <w:rPr>
                <w:rFonts w:ascii="Arial" w:hAnsi="Arial"/>
                <w:sz w:val="24"/>
                <w:lang w:val="es-EC"/>
              </w:rPr>
              <w:t>.900</w:t>
            </w:r>
          </w:p>
        </w:tc>
        <w:tc>
          <w:tcPr>
            <w:tcW w:w="1300" w:type="dxa"/>
            <w:vAlign w:val="center"/>
          </w:tcPr>
          <w:p w:rsidR="00000000" w:rsidRDefault="00614B1E">
            <w:pPr>
              <w:jc w:val="center"/>
              <w:rPr>
                <w:rFonts w:ascii="Arial" w:hAnsi="Arial"/>
                <w:sz w:val="24"/>
                <w:lang w:val="es-EC"/>
              </w:rPr>
            </w:pPr>
            <w:r>
              <w:rPr>
                <w:rFonts w:ascii="Arial" w:hAnsi="Arial"/>
                <w:sz w:val="24"/>
                <w:lang w:val="es-EC"/>
              </w:rPr>
              <w:t>38.700</w:t>
            </w:r>
          </w:p>
        </w:tc>
        <w:tc>
          <w:tcPr>
            <w:tcW w:w="1299" w:type="dxa"/>
            <w:vAlign w:val="center"/>
          </w:tcPr>
          <w:p w:rsidR="00000000" w:rsidRDefault="00614B1E">
            <w:pPr>
              <w:jc w:val="center"/>
              <w:rPr>
                <w:rFonts w:ascii="Arial" w:hAnsi="Arial"/>
                <w:sz w:val="24"/>
                <w:lang w:val="es-EC"/>
              </w:rPr>
            </w:pPr>
            <w:r>
              <w:rPr>
                <w:rFonts w:ascii="Arial" w:hAnsi="Arial"/>
                <w:sz w:val="24"/>
                <w:lang w:val="es-EC"/>
              </w:rPr>
              <w:t>52.700</w:t>
            </w:r>
          </w:p>
        </w:tc>
        <w:tc>
          <w:tcPr>
            <w:tcW w:w="1299" w:type="dxa"/>
            <w:vAlign w:val="center"/>
          </w:tcPr>
          <w:p w:rsidR="00000000" w:rsidRDefault="00614B1E">
            <w:pPr>
              <w:jc w:val="center"/>
              <w:rPr>
                <w:rFonts w:ascii="Arial" w:hAnsi="Arial"/>
                <w:sz w:val="24"/>
                <w:lang w:val="es-EC"/>
              </w:rPr>
            </w:pPr>
            <w:r>
              <w:rPr>
                <w:rFonts w:ascii="Arial" w:hAnsi="Arial"/>
                <w:sz w:val="24"/>
                <w:lang w:val="es-EC"/>
              </w:rPr>
              <w:t>58.200</w:t>
            </w:r>
          </w:p>
        </w:tc>
      </w:tr>
      <w:tr w:rsidR="00000000">
        <w:tblPrEx>
          <w:tblCellMar>
            <w:top w:w="0" w:type="dxa"/>
            <w:bottom w:w="0" w:type="dxa"/>
          </w:tblCellMar>
        </w:tblPrEx>
        <w:trPr>
          <w:trHeight w:val="397"/>
          <w:jc w:val="center"/>
        </w:trPr>
        <w:tc>
          <w:tcPr>
            <w:tcW w:w="1519" w:type="dxa"/>
            <w:vAlign w:val="center"/>
          </w:tcPr>
          <w:p w:rsidR="00000000" w:rsidRDefault="00614B1E">
            <w:pPr>
              <w:jc w:val="center"/>
              <w:rPr>
                <w:rFonts w:ascii="Arial" w:hAnsi="Arial"/>
                <w:b/>
                <w:sz w:val="24"/>
                <w:lang w:val="es-EC"/>
              </w:rPr>
            </w:pPr>
            <w:r>
              <w:rPr>
                <w:rFonts w:ascii="Arial" w:hAnsi="Arial"/>
                <w:b/>
                <w:sz w:val="24"/>
                <w:lang w:val="es-EC"/>
              </w:rPr>
              <w:t>Atún</w:t>
            </w:r>
          </w:p>
        </w:tc>
        <w:tc>
          <w:tcPr>
            <w:tcW w:w="1079" w:type="dxa"/>
            <w:vAlign w:val="center"/>
          </w:tcPr>
          <w:p w:rsidR="00000000" w:rsidRDefault="00614B1E">
            <w:pPr>
              <w:jc w:val="center"/>
              <w:rPr>
                <w:rFonts w:ascii="Arial" w:hAnsi="Arial"/>
                <w:sz w:val="24"/>
                <w:lang w:val="es-EC"/>
              </w:rPr>
            </w:pPr>
            <w:r>
              <w:rPr>
                <w:rFonts w:ascii="Arial" w:hAnsi="Arial"/>
                <w:sz w:val="24"/>
                <w:lang w:val="es-EC"/>
              </w:rPr>
              <w:t>1.600</w:t>
            </w:r>
          </w:p>
        </w:tc>
        <w:tc>
          <w:tcPr>
            <w:tcW w:w="1300" w:type="dxa"/>
            <w:vAlign w:val="center"/>
          </w:tcPr>
          <w:p w:rsidR="00000000" w:rsidRDefault="00614B1E">
            <w:pPr>
              <w:jc w:val="center"/>
              <w:rPr>
                <w:rFonts w:ascii="Arial" w:hAnsi="Arial"/>
                <w:sz w:val="24"/>
                <w:lang w:val="es-EC"/>
              </w:rPr>
            </w:pPr>
            <w:r>
              <w:rPr>
                <w:rFonts w:ascii="Arial" w:hAnsi="Arial"/>
                <w:sz w:val="24"/>
                <w:lang w:val="es-EC"/>
              </w:rPr>
              <w:t>2.900</w:t>
            </w:r>
          </w:p>
        </w:tc>
        <w:tc>
          <w:tcPr>
            <w:tcW w:w="1299" w:type="dxa"/>
            <w:vAlign w:val="center"/>
          </w:tcPr>
          <w:p w:rsidR="00000000" w:rsidRDefault="00614B1E">
            <w:pPr>
              <w:jc w:val="center"/>
              <w:rPr>
                <w:rFonts w:ascii="Arial" w:hAnsi="Arial"/>
                <w:sz w:val="24"/>
                <w:lang w:val="es-EC"/>
              </w:rPr>
            </w:pPr>
            <w:r>
              <w:rPr>
                <w:rFonts w:ascii="Arial" w:hAnsi="Arial"/>
                <w:sz w:val="24"/>
                <w:lang w:val="es-EC"/>
              </w:rPr>
              <w:t>4.200</w:t>
            </w:r>
          </w:p>
        </w:tc>
        <w:tc>
          <w:tcPr>
            <w:tcW w:w="1299" w:type="dxa"/>
            <w:vAlign w:val="center"/>
          </w:tcPr>
          <w:p w:rsidR="00000000" w:rsidRDefault="00614B1E">
            <w:pPr>
              <w:jc w:val="center"/>
              <w:rPr>
                <w:rFonts w:ascii="Arial" w:hAnsi="Arial"/>
                <w:sz w:val="24"/>
                <w:lang w:val="es-EC"/>
              </w:rPr>
            </w:pPr>
            <w:r>
              <w:rPr>
                <w:rFonts w:ascii="Arial" w:hAnsi="Arial"/>
                <w:sz w:val="24"/>
                <w:lang w:val="es-EC"/>
              </w:rPr>
              <w:t>5.000</w:t>
            </w:r>
          </w:p>
        </w:tc>
      </w:tr>
      <w:tr w:rsidR="00000000">
        <w:tblPrEx>
          <w:tblCellMar>
            <w:top w:w="0" w:type="dxa"/>
            <w:bottom w:w="0" w:type="dxa"/>
          </w:tblCellMar>
        </w:tblPrEx>
        <w:trPr>
          <w:trHeight w:val="397"/>
          <w:jc w:val="center"/>
        </w:trPr>
        <w:tc>
          <w:tcPr>
            <w:tcW w:w="1519" w:type="dxa"/>
            <w:vAlign w:val="center"/>
          </w:tcPr>
          <w:p w:rsidR="00000000" w:rsidRDefault="00614B1E">
            <w:pPr>
              <w:jc w:val="center"/>
              <w:rPr>
                <w:rFonts w:ascii="Arial" w:hAnsi="Arial"/>
                <w:b/>
                <w:sz w:val="24"/>
                <w:lang w:val="es-EC"/>
              </w:rPr>
            </w:pPr>
            <w:r>
              <w:rPr>
                <w:rFonts w:ascii="Arial" w:hAnsi="Arial"/>
                <w:b/>
                <w:sz w:val="24"/>
                <w:lang w:val="es-EC"/>
              </w:rPr>
              <w:t>Atún/Total</w:t>
            </w:r>
          </w:p>
        </w:tc>
        <w:tc>
          <w:tcPr>
            <w:tcW w:w="1079" w:type="dxa"/>
            <w:vAlign w:val="center"/>
          </w:tcPr>
          <w:p w:rsidR="00000000" w:rsidRDefault="00614B1E">
            <w:pPr>
              <w:jc w:val="center"/>
              <w:rPr>
                <w:rFonts w:ascii="Arial" w:hAnsi="Arial"/>
                <w:sz w:val="24"/>
              </w:rPr>
            </w:pPr>
            <w:r>
              <w:rPr>
                <w:rFonts w:ascii="Arial" w:hAnsi="Arial"/>
                <w:sz w:val="24"/>
              </w:rPr>
              <w:t>7,0%</w:t>
            </w:r>
          </w:p>
        </w:tc>
        <w:tc>
          <w:tcPr>
            <w:tcW w:w="1300" w:type="dxa"/>
            <w:vAlign w:val="center"/>
          </w:tcPr>
          <w:p w:rsidR="00000000" w:rsidRDefault="00614B1E">
            <w:pPr>
              <w:jc w:val="center"/>
              <w:rPr>
                <w:rFonts w:ascii="Arial" w:hAnsi="Arial"/>
                <w:sz w:val="24"/>
              </w:rPr>
            </w:pPr>
            <w:r>
              <w:rPr>
                <w:rFonts w:ascii="Arial" w:hAnsi="Arial"/>
                <w:sz w:val="24"/>
              </w:rPr>
              <w:t>7,5%</w:t>
            </w:r>
          </w:p>
        </w:tc>
        <w:tc>
          <w:tcPr>
            <w:tcW w:w="1299" w:type="dxa"/>
            <w:vAlign w:val="center"/>
          </w:tcPr>
          <w:p w:rsidR="00000000" w:rsidRDefault="00614B1E">
            <w:pPr>
              <w:jc w:val="center"/>
              <w:rPr>
                <w:rFonts w:ascii="Arial" w:hAnsi="Arial"/>
                <w:sz w:val="24"/>
              </w:rPr>
            </w:pPr>
            <w:r>
              <w:rPr>
                <w:rFonts w:ascii="Arial" w:hAnsi="Arial"/>
                <w:sz w:val="24"/>
              </w:rPr>
              <w:t>8,0%</w:t>
            </w:r>
          </w:p>
        </w:tc>
        <w:tc>
          <w:tcPr>
            <w:tcW w:w="1299" w:type="dxa"/>
            <w:vAlign w:val="center"/>
          </w:tcPr>
          <w:p w:rsidR="00000000" w:rsidRDefault="00614B1E">
            <w:pPr>
              <w:jc w:val="center"/>
              <w:rPr>
                <w:rFonts w:ascii="Arial" w:hAnsi="Arial"/>
                <w:sz w:val="24"/>
              </w:rPr>
            </w:pPr>
            <w:r>
              <w:rPr>
                <w:rFonts w:ascii="Arial" w:hAnsi="Arial"/>
                <w:sz w:val="24"/>
              </w:rPr>
              <w:t>8,6%</w:t>
            </w:r>
          </w:p>
        </w:tc>
      </w:tr>
    </w:tbl>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 xml:space="preserve">La especie más capturada y con mayor ritmo de crecimiento a nivel mundial es el atún Skipjack o barrilete, cuya pesca llegó en 1999 a las </w:t>
      </w:r>
      <w:r>
        <w:rPr>
          <w:rFonts w:ascii="Arial" w:hAnsi="Arial"/>
          <w:color w:val="000000"/>
          <w:sz w:val="24"/>
          <w:lang w:val="es-EC"/>
        </w:rPr>
        <w:lastRenderedPageBreak/>
        <w:t>1'989.000  TM, más del 50%</w:t>
      </w:r>
      <w:r>
        <w:rPr>
          <w:rFonts w:ascii="Arial" w:hAnsi="Arial"/>
          <w:color w:val="000000"/>
          <w:sz w:val="24"/>
          <w:lang w:val="es-EC"/>
        </w:rPr>
        <w:t xml:space="preserve"> del total de capturas de atún. Le siguen el "aleta amarilla", el "patudo", la albacora y demás especies.</w:t>
      </w:r>
    </w:p>
    <w:p w:rsidR="00000000" w:rsidRDefault="00CE65AE">
      <w:pPr>
        <w:ind w:left="426"/>
        <w:jc w:val="both"/>
        <w:rPr>
          <w:rFonts w:ascii="Arial" w:hAnsi="Arial"/>
          <w:color w:val="000000"/>
          <w:sz w:val="24"/>
          <w:lang w:val="es-EC"/>
        </w:rPr>
      </w:pPr>
      <w:r>
        <w:rPr>
          <w:rFonts w:ascii="Arial" w:hAnsi="Arial"/>
          <w:noProof/>
          <w:color w:val="000000"/>
          <w:sz w:val="24"/>
          <w:lang w:val="es-ES"/>
        </w:rPr>
        <w:drawing>
          <wp:anchor distT="0" distB="0" distL="114300" distR="114300" simplePos="0" relativeHeight="251662848" behindDoc="0" locked="0" layoutInCell="0" allowOverlap="1">
            <wp:simplePos x="0" y="0"/>
            <wp:positionH relativeFrom="column">
              <wp:posOffset>205740</wp:posOffset>
            </wp:positionH>
            <wp:positionV relativeFrom="paragraph">
              <wp:posOffset>182880</wp:posOffset>
            </wp:positionV>
            <wp:extent cx="5056505" cy="2608580"/>
            <wp:effectExtent l="0" t="0" r="0" b="0"/>
            <wp:wrapTopAndBottom/>
            <wp:docPr id="43" name="Objet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00000" w:rsidRDefault="00614B1E">
      <w:pPr>
        <w:ind w:left="426"/>
        <w:jc w:val="center"/>
        <w:rPr>
          <w:rFonts w:ascii="Arial" w:hAnsi="Arial"/>
          <w:b/>
          <w:color w:val="000000"/>
          <w:sz w:val="24"/>
          <w:lang w:val="es-EC"/>
        </w:rPr>
      </w:pPr>
    </w:p>
    <w:p w:rsidR="00000000" w:rsidRDefault="00614B1E">
      <w:pPr>
        <w:ind w:left="426"/>
        <w:jc w:val="center"/>
        <w:rPr>
          <w:rFonts w:ascii="Arial" w:hAnsi="Arial"/>
          <w:b/>
          <w:color w:val="000000"/>
          <w:sz w:val="24"/>
          <w:lang w:val="es-EC"/>
        </w:rPr>
      </w:pPr>
    </w:p>
    <w:p w:rsidR="00000000" w:rsidRDefault="00614B1E">
      <w:pPr>
        <w:ind w:left="425"/>
        <w:jc w:val="center"/>
        <w:rPr>
          <w:rFonts w:ascii="Arial" w:hAnsi="Arial"/>
          <w:b/>
          <w:color w:val="000000"/>
          <w:sz w:val="24"/>
          <w:lang w:val="es-EC"/>
        </w:rPr>
      </w:pPr>
      <w:r>
        <w:rPr>
          <w:rFonts w:ascii="Arial" w:hAnsi="Arial"/>
          <w:b/>
          <w:color w:val="000000"/>
          <w:sz w:val="24"/>
          <w:lang w:val="es-EC"/>
        </w:rPr>
        <w:t>Gráfico 3   "Capturas de atunes por especie (1000 TM)"</w:t>
      </w:r>
    </w:p>
    <w:p w:rsidR="00000000" w:rsidRDefault="00614B1E">
      <w:pPr>
        <w:ind w:left="425"/>
        <w:jc w:val="center"/>
        <w:rPr>
          <w:rFonts w:ascii="Arial" w:hAnsi="Arial"/>
          <w:b/>
          <w:color w:val="000000"/>
          <w:sz w:val="24"/>
          <w:lang w:val="es-EC"/>
        </w:rPr>
      </w:pPr>
    </w:p>
    <w:p w:rsidR="00000000" w:rsidRDefault="00614B1E">
      <w:pPr>
        <w:jc w:val="center"/>
        <w:rPr>
          <w:rFonts w:ascii="Arial" w:hAnsi="Arial"/>
          <w:color w:val="000000"/>
          <w:sz w:val="24"/>
        </w:rPr>
      </w:pPr>
      <w:r w:rsidRPr="00CE65AE">
        <w:rPr>
          <w:rFonts w:ascii="Arial" w:hAnsi="Arial"/>
          <w:color w:val="000000"/>
          <w:lang w:val="es-ES"/>
        </w:rPr>
        <w:t xml:space="preserve">        </w:t>
      </w:r>
      <w:r>
        <w:rPr>
          <w:rFonts w:ascii="Arial" w:hAnsi="Arial"/>
          <w:color w:val="000000"/>
        </w:rPr>
        <w:t>Fuente: Global World Tuna Markets</w:t>
      </w:r>
    </w:p>
    <w:p w:rsidR="00000000" w:rsidRDefault="00614B1E">
      <w:pPr>
        <w:ind w:left="426"/>
        <w:jc w:val="both"/>
        <w:rPr>
          <w:rFonts w:ascii="Arial" w:hAnsi="Arial"/>
          <w:color w:val="000000"/>
          <w:sz w:val="24"/>
        </w:rPr>
      </w:pPr>
    </w:p>
    <w:p w:rsidR="00000000" w:rsidRDefault="00614B1E">
      <w:pPr>
        <w:ind w:left="426"/>
        <w:jc w:val="both"/>
        <w:rPr>
          <w:rFonts w:ascii="Arial" w:hAnsi="Arial"/>
          <w:color w:val="000000"/>
          <w:sz w:val="24"/>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99"/>
        <w:gridCol w:w="1299"/>
        <w:gridCol w:w="1300"/>
        <w:gridCol w:w="1299"/>
        <w:gridCol w:w="1299"/>
        <w:gridCol w:w="1300"/>
      </w:tblGrid>
      <w:tr w:rsidR="00000000">
        <w:tblPrEx>
          <w:tblCellMar>
            <w:top w:w="0" w:type="dxa"/>
            <w:bottom w:w="0" w:type="dxa"/>
          </w:tblCellMar>
        </w:tblPrEx>
        <w:trPr>
          <w:trHeight w:val="397"/>
        </w:trPr>
        <w:tc>
          <w:tcPr>
            <w:tcW w:w="1299" w:type="dxa"/>
            <w:vAlign w:val="center"/>
          </w:tcPr>
          <w:p w:rsidR="00000000" w:rsidRDefault="00614B1E">
            <w:pPr>
              <w:ind w:left="426"/>
              <w:jc w:val="center"/>
              <w:rPr>
                <w:rFonts w:ascii="Arial" w:hAnsi="Arial"/>
                <w:color w:val="000000"/>
                <w:sz w:val="24"/>
              </w:rPr>
            </w:pPr>
          </w:p>
        </w:tc>
        <w:tc>
          <w:tcPr>
            <w:tcW w:w="1299" w:type="dxa"/>
            <w:vAlign w:val="center"/>
          </w:tcPr>
          <w:p w:rsidR="00000000" w:rsidRDefault="00614B1E">
            <w:pPr>
              <w:jc w:val="center"/>
              <w:rPr>
                <w:rFonts w:ascii="Arial" w:hAnsi="Arial"/>
                <w:b/>
                <w:color w:val="000000"/>
                <w:sz w:val="24"/>
              </w:rPr>
            </w:pPr>
            <w:r>
              <w:rPr>
                <w:rFonts w:ascii="Arial" w:hAnsi="Arial"/>
                <w:b/>
                <w:color w:val="000000"/>
                <w:sz w:val="24"/>
              </w:rPr>
              <w:t>1987</w:t>
            </w:r>
          </w:p>
        </w:tc>
        <w:tc>
          <w:tcPr>
            <w:tcW w:w="1300" w:type="dxa"/>
            <w:vAlign w:val="center"/>
          </w:tcPr>
          <w:p w:rsidR="00000000" w:rsidRDefault="00614B1E">
            <w:pPr>
              <w:jc w:val="center"/>
              <w:rPr>
                <w:rFonts w:ascii="Arial" w:hAnsi="Arial"/>
                <w:b/>
                <w:color w:val="000000"/>
                <w:sz w:val="24"/>
              </w:rPr>
            </w:pPr>
            <w:r>
              <w:rPr>
                <w:rFonts w:ascii="Arial" w:hAnsi="Arial"/>
                <w:b/>
                <w:color w:val="000000"/>
                <w:sz w:val="24"/>
              </w:rPr>
              <w:t>1991</w:t>
            </w:r>
          </w:p>
        </w:tc>
        <w:tc>
          <w:tcPr>
            <w:tcW w:w="1299" w:type="dxa"/>
            <w:vAlign w:val="center"/>
          </w:tcPr>
          <w:p w:rsidR="00000000" w:rsidRDefault="00614B1E">
            <w:pPr>
              <w:jc w:val="center"/>
              <w:rPr>
                <w:rFonts w:ascii="Arial" w:hAnsi="Arial"/>
                <w:b/>
                <w:color w:val="000000"/>
                <w:sz w:val="24"/>
              </w:rPr>
            </w:pPr>
            <w:r>
              <w:rPr>
                <w:rFonts w:ascii="Arial" w:hAnsi="Arial"/>
                <w:b/>
                <w:color w:val="000000"/>
                <w:sz w:val="24"/>
              </w:rPr>
              <w:t>1995</w:t>
            </w:r>
          </w:p>
        </w:tc>
        <w:tc>
          <w:tcPr>
            <w:tcW w:w="1299" w:type="dxa"/>
            <w:vAlign w:val="center"/>
          </w:tcPr>
          <w:p w:rsidR="00000000" w:rsidRDefault="00614B1E">
            <w:pPr>
              <w:jc w:val="center"/>
              <w:rPr>
                <w:rFonts w:ascii="Arial" w:hAnsi="Arial"/>
                <w:b/>
                <w:color w:val="000000"/>
                <w:sz w:val="24"/>
              </w:rPr>
            </w:pPr>
            <w:r>
              <w:rPr>
                <w:rFonts w:ascii="Arial" w:hAnsi="Arial"/>
                <w:b/>
                <w:color w:val="000000"/>
                <w:sz w:val="24"/>
              </w:rPr>
              <w:t>1999</w:t>
            </w:r>
          </w:p>
        </w:tc>
        <w:tc>
          <w:tcPr>
            <w:tcW w:w="1300" w:type="dxa"/>
            <w:vAlign w:val="center"/>
          </w:tcPr>
          <w:p w:rsidR="00000000" w:rsidRDefault="00614B1E">
            <w:pPr>
              <w:jc w:val="center"/>
              <w:rPr>
                <w:rFonts w:ascii="Arial" w:hAnsi="Arial"/>
                <w:b/>
                <w:color w:val="000000"/>
                <w:sz w:val="24"/>
              </w:rPr>
            </w:pPr>
            <w:r>
              <w:rPr>
                <w:rFonts w:ascii="Arial" w:hAnsi="Arial"/>
                <w:b/>
                <w:color w:val="000000"/>
                <w:sz w:val="24"/>
              </w:rPr>
              <w:t>2002</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rPr>
            </w:pPr>
            <w:r>
              <w:rPr>
                <w:rFonts w:ascii="Arial" w:hAnsi="Arial"/>
                <w:b/>
                <w:color w:val="000000"/>
                <w:sz w:val="24"/>
              </w:rPr>
              <w:t>Skipjack</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1.016</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1.58</w:t>
            </w:r>
            <w:r>
              <w:rPr>
                <w:rFonts w:ascii="Arial" w:hAnsi="Arial"/>
                <w:color w:val="000000"/>
                <w:sz w:val="24"/>
              </w:rPr>
              <w:t>0</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1.649</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1.989</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2.030</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rPr>
            </w:pPr>
            <w:r>
              <w:rPr>
                <w:rFonts w:ascii="Arial" w:hAnsi="Arial"/>
                <w:b/>
                <w:color w:val="000000"/>
                <w:sz w:val="24"/>
              </w:rPr>
              <w:t>Yellowfin</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847</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920</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991</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1.080</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1.347</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rPr>
            </w:pPr>
            <w:r>
              <w:rPr>
                <w:rFonts w:ascii="Arial" w:hAnsi="Arial"/>
                <w:b/>
                <w:color w:val="000000"/>
                <w:sz w:val="24"/>
              </w:rPr>
              <w:t>Bigeye</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264</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276</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368</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400</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430</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rPr>
            </w:pPr>
            <w:r>
              <w:rPr>
                <w:rFonts w:ascii="Arial" w:hAnsi="Arial"/>
                <w:b/>
                <w:color w:val="000000"/>
                <w:sz w:val="24"/>
              </w:rPr>
              <w:t>Albacore</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220</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171</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192</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244</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238</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rPr>
            </w:pPr>
            <w:r>
              <w:rPr>
                <w:rFonts w:ascii="Arial" w:hAnsi="Arial"/>
                <w:b/>
                <w:color w:val="000000"/>
                <w:sz w:val="24"/>
              </w:rPr>
              <w:t>Bluefins</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58</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45</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70</w:t>
            </w:r>
          </w:p>
        </w:tc>
        <w:tc>
          <w:tcPr>
            <w:tcW w:w="1299" w:type="dxa"/>
            <w:vAlign w:val="center"/>
          </w:tcPr>
          <w:p w:rsidR="00000000" w:rsidRDefault="00614B1E">
            <w:pPr>
              <w:jc w:val="center"/>
              <w:rPr>
                <w:rFonts w:ascii="Arial" w:hAnsi="Arial"/>
                <w:color w:val="000000"/>
                <w:sz w:val="24"/>
              </w:rPr>
            </w:pPr>
            <w:r>
              <w:rPr>
                <w:rFonts w:ascii="Arial" w:hAnsi="Arial"/>
                <w:color w:val="000000"/>
                <w:sz w:val="24"/>
              </w:rPr>
              <w:t>70</w:t>
            </w:r>
          </w:p>
        </w:tc>
        <w:tc>
          <w:tcPr>
            <w:tcW w:w="1300" w:type="dxa"/>
            <w:vAlign w:val="center"/>
          </w:tcPr>
          <w:p w:rsidR="00000000" w:rsidRDefault="00614B1E">
            <w:pPr>
              <w:jc w:val="center"/>
              <w:rPr>
                <w:rFonts w:ascii="Arial" w:hAnsi="Arial"/>
                <w:color w:val="000000"/>
                <w:sz w:val="24"/>
              </w:rPr>
            </w:pPr>
            <w:r>
              <w:rPr>
                <w:rFonts w:ascii="Arial" w:hAnsi="Arial"/>
                <w:color w:val="000000"/>
                <w:sz w:val="24"/>
              </w:rPr>
              <w:t>64</w:t>
            </w:r>
          </w:p>
        </w:tc>
      </w:tr>
      <w:tr w:rsidR="00000000">
        <w:tblPrEx>
          <w:tblCellMar>
            <w:top w:w="0" w:type="dxa"/>
            <w:bottom w:w="0" w:type="dxa"/>
          </w:tblCellMar>
        </w:tblPrEx>
        <w:trPr>
          <w:trHeight w:val="397"/>
        </w:trPr>
        <w:tc>
          <w:tcPr>
            <w:tcW w:w="1299" w:type="dxa"/>
            <w:vAlign w:val="center"/>
          </w:tcPr>
          <w:p w:rsidR="00000000" w:rsidRDefault="00614B1E">
            <w:pPr>
              <w:jc w:val="center"/>
              <w:rPr>
                <w:rFonts w:ascii="Arial" w:hAnsi="Arial"/>
                <w:b/>
                <w:color w:val="000000"/>
                <w:sz w:val="24"/>
              </w:rPr>
            </w:pPr>
            <w:r>
              <w:rPr>
                <w:rFonts w:ascii="Arial" w:hAnsi="Arial"/>
                <w:b/>
                <w:color w:val="000000"/>
                <w:sz w:val="24"/>
              </w:rPr>
              <w:t>TOTAL</w:t>
            </w:r>
          </w:p>
        </w:tc>
        <w:tc>
          <w:tcPr>
            <w:tcW w:w="1299" w:type="dxa"/>
            <w:vAlign w:val="center"/>
          </w:tcPr>
          <w:p w:rsidR="00000000" w:rsidRDefault="00614B1E">
            <w:pPr>
              <w:jc w:val="center"/>
              <w:rPr>
                <w:rFonts w:ascii="Arial" w:hAnsi="Arial"/>
                <w:b/>
                <w:color w:val="000000"/>
                <w:sz w:val="24"/>
              </w:rPr>
            </w:pPr>
            <w:r>
              <w:rPr>
                <w:rFonts w:ascii="Arial" w:hAnsi="Arial"/>
                <w:b/>
                <w:color w:val="000000"/>
                <w:sz w:val="24"/>
              </w:rPr>
              <w:t>2.406</w:t>
            </w:r>
          </w:p>
        </w:tc>
        <w:tc>
          <w:tcPr>
            <w:tcW w:w="1300" w:type="dxa"/>
            <w:vAlign w:val="center"/>
          </w:tcPr>
          <w:p w:rsidR="00000000" w:rsidRDefault="00614B1E">
            <w:pPr>
              <w:jc w:val="center"/>
              <w:rPr>
                <w:rFonts w:ascii="Arial" w:hAnsi="Arial"/>
                <w:b/>
                <w:color w:val="000000"/>
                <w:sz w:val="24"/>
              </w:rPr>
            </w:pPr>
            <w:r>
              <w:rPr>
                <w:rFonts w:ascii="Arial" w:hAnsi="Arial"/>
                <w:b/>
                <w:color w:val="000000"/>
                <w:sz w:val="24"/>
              </w:rPr>
              <w:t>2.991</w:t>
            </w:r>
          </w:p>
        </w:tc>
        <w:tc>
          <w:tcPr>
            <w:tcW w:w="1299" w:type="dxa"/>
            <w:vAlign w:val="center"/>
          </w:tcPr>
          <w:p w:rsidR="00000000" w:rsidRDefault="00614B1E">
            <w:pPr>
              <w:jc w:val="center"/>
              <w:rPr>
                <w:rFonts w:ascii="Arial" w:hAnsi="Arial"/>
                <w:b/>
                <w:color w:val="000000"/>
                <w:sz w:val="24"/>
              </w:rPr>
            </w:pPr>
            <w:r>
              <w:rPr>
                <w:rFonts w:ascii="Arial" w:hAnsi="Arial"/>
                <w:b/>
                <w:color w:val="000000"/>
                <w:sz w:val="24"/>
              </w:rPr>
              <w:t>3.269</w:t>
            </w:r>
          </w:p>
        </w:tc>
        <w:tc>
          <w:tcPr>
            <w:tcW w:w="1299" w:type="dxa"/>
            <w:vAlign w:val="center"/>
          </w:tcPr>
          <w:p w:rsidR="00000000" w:rsidRDefault="00614B1E">
            <w:pPr>
              <w:jc w:val="center"/>
              <w:rPr>
                <w:rFonts w:ascii="Arial" w:hAnsi="Arial"/>
                <w:b/>
                <w:color w:val="000000"/>
                <w:sz w:val="24"/>
              </w:rPr>
            </w:pPr>
            <w:r>
              <w:rPr>
                <w:rFonts w:ascii="Arial" w:hAnsi="Arial"/>
                <w:b/>
                <w:color w:val="000000"/>
                <w:sz w:val="24"/>
              </w:rPr>
              <w:t>3.782</w:t>
            </w:r>
          </w:p>
        </w:tc>
        <w:tc>
          <w:tcPr>
            <w:tcW w:w="1300" w:type="dxa"/>
            <w:vAlign w:val="center"/>
          </w:tcPr>
          <w:p w:rsidR="00000000" w:rsidRDefault="00614B1E">
            <w:pPr>
              <w:jc w:val="center"/>
              <w:rPr>
                <w:rFonts w:ascii="Arial" w:hAnsi="Arial"/>
                <w:b/>
                <w:color w:val="000000"/>
                <w:sz w:val="24"/>
              </w:rPr>
            </w:pPr>
            <w:r>
              <w:rPr>
                <w:rFonts w:ascii="Arial" w:hAnsi="Arial"/>
                <w:b/>
                <w:color w:val="000000"/>
                <w:sz w:val="24"/>
              </w:rPr>
              <w:t>4.104</w:t>
            </w:r>
          </w:p>
        </w:tc>
      </w:tr>
    </w:tbl>
    <w:p w:rsidR="00000000" w:rsidRDefault="00614B1E">
      <w:pPr>
        <w:jc w:val="both"/>
        <w:rPr>
          <w:rFonts w:ascii="Arial" w:hAnsi="Arial"/>
          <w:color w:val="000000"/>
          <w:sz w:val="24"/>
          <w:lang w:val="es-EC"/>
        </w:rPr>
      </w:pP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r>
        <w:rPr>
          <w:rFonts w:ascii="Arial" w:hAnsi="Arial"/>
          <w:b/>
          <w:color w:val="000000"/>
          <w:sz w:val="24"/>
          <w:lang w:val="es-EC"/>
        </w:rPr>
        <w:lastRenderedPageBreak/>
        <w:t>1.3.1 Atún fresco y congelado</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992"/>
        <w:jc w:val="both"/>
        <w:rPr>
          <w:rFonts w:ascii="Arial" w:hAnsi="Arial"/>
          <w:color w:val="000000"/>
          <w:sz w:val="24"/>
          <w:lang w:val="es-EC"/>
        </w:rPr>
      </w:pPr>
      <w:r>
        <w:rPr>
          <w:rFonts w:ascii="Arial" w:hAnsi="Arial"/>
          <w:color w:val="000000"/>
          <w:sz w:val="24"/>
          <w:lang w:val="es-EC"/>
        </w:rPr>
        <w:t>Las exportaciones de atún fresco y congel</w:t>
      </w:r>
      <w:r>
        <w:rPr>
          <w:rFonts w:ascii="Arial" w:hAnsi="Arial"/>
          <w:color w:val="000000"/>
          <w:sz w:val="24"/>
          <w:lang w:val="es-EC"/>
        </w:rPr>
        <w:t xml:space="preserve">ado experimentaron su punto más alto en el 2001, recuperándose de la caída de precios del año 1999, con un total cerca de los 3.000 millones de dólares.  El país con mayores ventas en esta categoría es Taiwan con </w:t>
      </w:r>
    </w:p>
    <w:p w:rsidR="00000000" w:rsidRDefault="00614B1E">
      <w:pPr>
        <w:spacing w:line="480" w:lineRule="auto"/>
        <w:ind w:left="992"/>
        <w:jc w:val="both"/>
        <w:rPr>
          <w:rFonts w:ascii="Arial" w:hAnsi="Arial"/>
          <w:color w:val="000000"/>
          <w:sz w:val="24"/>
          <w:lang w:val="es-EC"/>
        </w:rPr>
      </w:pPr>
      <w:r>
        <w:rPr>
          <w:rFonts w:ascii="Arial" w:hAnsi="Arial"/>
          <w:color w:val="000000"/>
          <w:sz w:val="24"/>
          <w:lang w:val="es-EC"/>
        </w:rPr>
        <w:t>aproximadamente  el 40% del total de expor</w:t>
      </w:r>
      <w:r>
        <w:rPr>
          <w:rFonts w:ascii="Arial" w:hAnsi="Arial"/>
          <w:color w:val="000000"/>
          <w:sz w:val="24"/>
          <w:lang w:val="es-EC"/>
        </w:rPr>
        <w:t>taciones. Le siguen España, Corea, Australia y Francia, destacándose el crecimiento de España y Australia.</w:t>
      </w:r>
    </w:p>
    <w:p w:rsidR="00000000" w:rsidRDefault="00CE65AE">
      <w:pPr>
        <w:spacing w:line="480" w:lineRule="auto"/>
        <w:ind w:left="992"/>
        <w:jc w:val="both"/>
        <w:rPr>
          <w:rFonts w:ascii="Arial" w:hAnsi="Arial"/>
          <w:b/>
          <w:color w:val="000000"/>
          <w:sz w:val="24"/>
          <w:lang w:val="es-EC"/>
        </w:rPr>
      </w:pPr>
      <w:r>
        <w:rPr>
          <w:rFonts w:ascii="Arial" w:hAnsi="Arial"/>
          <w:b/>
          <w:noProof/>
          <w:color w:val="000000"/>
          <w:sz w:val="24"/>
          <w:lang w:val="es-ES"/>
        </w:rPr>
        <w:drawing>
          <wp:anchor distT="0" distB="0" distL="114300" distR="114300" simplePos="0" relativeHeight="251663872" behindDoc="0" locked="0" layoutInCell="0" allowOverlap="1">
            <wp:simplePos x="0" y="0"/>
            <wp:positionH relativeFrom="column">
              <wp:posOffset>554355</wp:posOffset>
            </wp:positionH>
            <wp:positionV relativeFrom="paragraph">
              <wp:posOffset>154940</wp:posOffset>
            </wp:positionV>
            <wp:extent cx="4834890" cy="2632075"/>
            <wp:effectExtent l="0" t="0" r="0" b="0"/>
            <wp:wrapTopAndBottom/>
            <wp:docPr id="44" name="Objet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00000" w:rsidRDefault="00614B1E">
      <w:pPr>
        <w:ind w:left="993"/>
        <w:jc w:val="center"/>
        <w:rPr>
          <w:rFonts w:ascii="Arial" w:hAnsi="Arial"/>
          <w:b/>
          <w:color w:val="000000"/>
          <w:sz w:val="24"/>
          <w:lang w:val="es-EC"/>
        </w:rPr>
      </w:pPr>
      <w:r>
        <w:rPr>
          <w:rFonts w:ascii="Arial" w:hAnsi="Arial"/>
          <w:b/>
          <w:color w:val="000000"/>
          <w:sz w:val="24"/>
          <w:lang w:val="es-EC"/>
        </w:rPr>
        <w:t>Gráfico 4  Exportaciones de atún fresco y congelado</w:t>
      </w:r>
    </w:p>
    <w:p w:rsidR="00000000" w:rsidRDefault="00614B1E">
      <w:pPr>
        <w:ind w:left="993"/>
        <w:jc w:val="center"/>
        <w:rPr>
          <w:rFonts w:ascii="Arial" w:hAnsi="Arial"/>
          <w:b/>
          <w:color w:val="000000"/>
          <w:sz w:val="24"/>
          <w:lang w:val="es-EC"/>
        </w:rPr>
      </w:pPr>
      <w:r>
        <w:rPr>
          <w:rFonts w:ascii="Arial" w:hAnsi="Arial"/>
          <w:b/>
          <w:color w:val="000000"/>
          <w:sz w:val="24"/>
          <w:lang w:val="es-EC"/>
        </w:rPr>
        <w:t>(millones de dólares)</w:t>
      </w:r>
    </w:p>
    <w:p w:rsidR="00000000" w:rsidRDefault="00614B1E">
      <w:pPr>
        <w:ind w:left="993"/>
        <w:jc w:val="center"/>
        <w:rPr>
          <w:rFonts w:ascii="Arial" w:hAnsi="Arial"/>
          <w:b/>
          <w:color w:val="000000"/>
          <w:sz w:val="24"/>
          <w:lang w:val="es-EC"/>
        </w:rPr>
      </w:pPr>
    </w:p>
    <w:p w:rsidR="00000000" w:rsidRDefault="00614B1E">
      <w:pPr>
        <w:ind w:left="1134"/>
        <w:rPr>
          <w:rFonts w:ascii="Arial" w:hAnsi="Arial"/>
          <w:b/>
          <w:color w:val="000000"/>
          <w:lang w:val="es-ES"/>
        </w:rPr>
      </w:pPr>
      <w:r>
        <w:rPr>
          <w:rFonts w:ascii="Arial" w:hAnsi="Arial"/>
          <w:color w:val="000000"/>
          <w:lang w:val="es-EC"/>
        </w:rPr>
        <w:t xml:space="preserve">                                 </w:t>
      </w:r>
      <w:r>
        <w:rPr>
          <w:rFonts w:ascii="Arial" w:hAnsi="Arial"/>
          <w:color w:val="000000"/>
          <w:lang w:val="es-ES"/>
        </w:rPr>
        <w:t>Fuente: Global World Tuna Markets</w:t>
      </w:r>
    </w:p>
    <w:p w:rsidR="00000000" w:rsidRDefault="00614B1E">
      <w:pPr>
        <w:ind w:left="993"/>
        <w:jc w:val="center"/>
        <w:rPr>
          <w:rFonts w:ascii="Arial" w:hAnsi="Arial"/>
          <w:b/>
          <w:color w:val="000000"/>
          <w:sz w:val="24"/>
          <w:lang w:val="es-ES"/>
        </w:rPr>
      </w:pPr>
    </w:p>
    <w:p w:rsidR="00000000" w:rsidRDefault="00614B1E">
      <w:pPr>
        <w:ind w:left="993"/>
        <w:jc w:val="center"/>
        <w:rPr>
          <w:rFonts w:ascii="Arial" w:hAnsi="Arial"/>
          <w:b/>
          <w:color w:val="000000"/>
          <w:sz w:val="24"/>
          <w:lang w:val="es-ES"/>
        </w:rPr>
      </w:pPr>
    </w:p>
    <w:p w:rsidR="00000000" w:rsidRDefault="00614B1E">
      <w:pPr>
        <w:ind w:left="993"/>
        <w:jc w:val="center"/>
        <w:rPr>
          <w:rFonts w:ascii="Arial" w:hAnsi="Arial"/>
          <w:b/>
          <w:color w:val="000000"/>
          <w:sz w:val="24"/>
          <w:lang w:val="es-ES"/>
        </w:rPr>
      </w:pPr>
    </w:p>
    <w:p w:rsidR="00000000" w:rsidRDefault="00614B1E">
      <w:pPr>
        <w:ind w:left="993"/>
        <w:jc w:val="center"/>
        <w:rPr>
          <w:rFonts w:ascii="Arial" w:hAnsi="Arial"/>
          <w:b/>
          <w:color w:val="000000"/>
          <w:sz w:val="24"/>
          <w:lang w:val="es-ES"/>
        </w:rPr>
      </w:pPr>
    </w:p>
    <w:p w:rsidR="00000000" w:rsidRDefault="00614B1E">
      <w:pPr>
        <w:ind w:left="993"/>
        <w:jc w:val="center"/>
        <w:rPr>
          <w:rFonts w:ascii="Arial" w:hAnsi="Arial"/>
          <w:color w:val="000000"/>
          <w:sz w:val="24"/>
          <w:lang w:val="es-ES"/>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5"/>
        <w:gridCol w:w="1134"/>
        <w:gridCol w:w="1276"/>
        <w:gridCol w:w="1276"/>
        <w:gridCol w:w="1134"/>
        <w:gridCol w:w="1134"/>
      </w:tblGrid>
      <w:tr w:rsidR="00000000">
        <w:tblPrEx>
          <w:tblCellMar>
            <w:top w:w="0" w:type="dxa"/>
            <w:bottom w:w="0" w:type="dxa"/>
          </w:tblCellMar>
        </w:tblPrEx>
        <w:trPr>
          <w:trHeight w:val="397"/>
        </w:trPr>
        <w:tc>
          <w:tcPr>
            <w:tcW w:w="1275" w:type="dxa"/>
            <w:vAlign w:val="center"/>
          </w:tcPr>
          <w:p w:rsidR="00000000" w:rsidRDefault="00614B1E">
            <w:pPr>
              <w:jc w:val="center"/>
              <w:rPr>
                <w:sz w:val="24"/>
                <w:lang w:val="es-ES"/>
              </w:rPr>
            </w:pPr>
          </w:p>
        </w:tc>
        <w:tc>
          <w:tcPr>
            <w:tcW w:w="1134"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1986</w:t>
            </w:r>
          </w:p>
        </w:tc>
        <w:tc>
          <w:tcPr>
            <w:tcW w:w="1276"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1991</w:t>
            </w:r>
          </w:p>
        </w:tc>
        <w:tc>
          <w:tcPr>
            <w:tcW w:w="1276"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1996</w:t>
            </w:r>
          </w:p>
        </w:tc>
        <w:tc>
          <w:tcPr>
            <w:tcW w:w="1134"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1999</w:t>
            </w:r>
          </w:p>
        </w:tc>
        <w:tc>
          <w:tcPr>
            <w:tcW w:w="1134"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2002</w:t>
            </w:r>
          </w:p>
        </w:tc>
      </w:tr>
      <w:tr w:rsidR="00000000">
        <w:tblPrEx>
          <w:tblCellMar>
            <w:top w:w="0" w:type="dxa"/>
            <w:bottom w:w="0" w:type="dxa"/>
          </w:tblCellMar>
        </w:tblPrEx>
        <w:trPr>
          <w:trHeight w:val="397"/>
        </w:trPr>
        <w:tc>
          <w:tcPr>
            <w:tcW w:w="1275"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Taiwan</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235</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346</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1.070</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1.190</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1.048</w:t>
            </w:r>
          </w:p>
        </w:tc>
      </w:tr>
      <w:tr w:rsidR="00000000">
        <w:tblPrEx>
          <w:tblCellMar>
            <w:top w:w="0" w:type="dxa"/>
            <w:bottom w:w="0" w:type="dxa"/>
          </w:tblCellMar>
        </w:tblPrEx>
        <w:trPr>
          <w:trHeight w:val="397"/>
        </w:trPr>
        <w:tc>
          <w:tcPr>
            <w:tcW w:w="1275"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España</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57</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122</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155</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260</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282</w:t>
            </w:r>
          </w:p>
        </w:tc>
      </w:tr>
      <w:tr w:rsidR="00000000">
        <w:tblPrEx>
          <w:tblCellMar>
            <w:top w:w="0" w:type="dxa"/>
            <w:bottom w:w="0" w:type="dxa"/>
          </w:tblCellMar>
        </w:tblPrEx>
        <w:trPr>
          <w:trHeight w:val="397"/>
        </w:trPr>
        <w:tc>
          <w:tcPr>
            <w:tcW w:w="1275"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Corea del Sur</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201</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313</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312</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291</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268</w:t>
            </w:r>
          </w:p>
        </w:tc>
      </w:tr>
      <w:tr w:rsidR="00000000">
        <w:tblPrEx>
          <w:tblCellMar>
            <w:top w:w="0" w:type="dxa"/>
            <w:bottom w:w="0" w:type="dxa"/>
          </w:tblCellMar>
        </w:tblPrEx>
        <w:trPr>
          <w:trHeight w:val="397"/>
        </w:trPr>
        <w:tc>
          <w:tcPr>
            <w:tcW w:w="1275"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Australia</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2</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3</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27</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115</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192</w:t>
            </w:r>
          </w:p>
        </w:tc>
      </w:tr>
      <w:tr w:rsidR="00000000">
        <w:tblPrEx>
          <w:tblCellMar>
            <w:top w:w="0" w:type="dxa"/>
            <w:bottom w:w="0" w:type="dxa"/>
          </w:tblCellMar>
        </w:tblPrEx>
        <w:trPr>
          <w:trHeight w:val="397"/>
        </w:trPr>
        <w:tc>
          <w:tcPr>
            <w:tcW w:w="1275"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Francia</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61</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103</w:t>
            </w:r>
          </w:p>
        </w:tc>
        <w:tc>
          <w:tcPr>
            <w:tcW w:w="1276" w:type="dxa"/>
            <w:vAlign w:val="center"/>
          </w:tcPr>
          <w:p w:rsidR="00000000" w:rsidRDefault="00614B1E">
            <w:pPr>
              <w:jc w:val="center"/>
              <w:rPr>
                <w:rFonts w:ascii="Arial" w:hAnsi="Arial"/>
                <w:color w:val="000000"/>
                <w:sz w:val="24"/>
                <w:lang w:val="es-EC"/>
              </w:rPr>
            </w:pPr>
            <w:r>
              <w:rPr>
                <w:rFonts w:ascii="Arial" w:hAnsi="Arial"/>
                <w:color w:val="000000"/>
                <w:sz w:val="24"/>
                <w:lang w:val="es-EC"/>
              </w:rPr>
              <w:t>151</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121</w:t>
            </w:r>
          </w:p>
        </w:tc>
        <w:tc>
          <w:tcPr>
            <w:tcW w:w="1134" w:type="dxa"/>
            <w:vAlign w:val="center"/>
          </w:tcPr>
          <w:p w:rsidR="00000000" w:rsidRDefault="00614B1E">
            <w:pPr>
              <w:jc w:val="center"/>
              <w:rPr>
                <w:rFonts w:ascii="Arial" w:hAnsi="Arial"/>
                <w:color w:val="000000"/>
                <w:sz w:val="24"/>
                <w:lang w:val="es-EC"/>
              </w:rPr>
            </w:pPr>
            <w:r>
              <w:rPr>
                <w:rFonts w:ascii="Arial" w:hAnsi="Arial"/>
                <w:color w:val="000000"/>
                <w:sz w:val="24"/>
                <w:lang w:val="es-EC"/>
              </w:rPr>
              <w:t>152</w:t>
            </w:r>
          </w:p>
        </w:tc>
      </w:tr>
      <w:tr w:rsidR="00000000">
        <w:tblPrEx>
          <w:tblCellMar>
            <w:top w:w="0" w:type="dxa"/>
            <w:bottom w:w="0" w:type="dxa"/>
          </w:tblCellMar>
        </w:tblPrEx>
        <w:trPr>
          <w:trHeight w:val="397"/>
        </w:trPr>
        <w:tc>
          <w:tcPr>
            <w:tcW w:w="1275"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TOTAL*</w:t>
            </w:r>
          </w:p>
        </w:tc>
        <w:tc>
          <w:tcPr>
            <w:tcW w:w="1134"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896</w:t>
            </w:r>
          </w:p>
        </w:tc>
        <w:tc>
          <w:tcPr>
            <w:tcW w:w="1276"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1.503</w:t>
            </w:r>
          </w:p>
        </w:tc>
        <w:tc>
          <w:tcPr>
            <w:tcW w:w="1276"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2.471</w:t>
            </w:r>
          </w:p>
        </w:tc>
        <w:tc>
          <w:tcPr>
            <w:tcW w:w="1134"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2.926</w:t>
            </w:r>
          </w:p>
        </w:tc>
        <w:tc>
          <w:tcPr>
            <w:tcW w:w="1134" w:type="dxa"/>
            <w:vAlign w:val="center"/>
          </w:tcPr>
          <w:p w:rsidR="00000000" w:rsidRDefault="00614B1E">
            <w:pPr>
              <w:jc w:val="center"/>
              <w:rPr>
                <w:rFonts w:ascii="Arial" w:hAnsi="Arial"/>
                <w:b/>
                <w:color w:val="000000"/>
                <w:sz w:val="24"/>
                <w:lang w:val="es-EC"/>
              </w:rPr>
            </w:pPr>
            <w:r>
              <w:rPr>
                <w:rFonts w:ascii="Arial" w:hAnsi="Arial"/>
                <w:b/>
                <w:color w:val="000000"/>
                <w:sz w:val="24"/>
                <w:lang w:val="es-EC"/>
              </w:rPr>
              <w:t>2.981</w:t>
            </w:r>
          </w:p>
        </w:tc>
      </w:tr>
    </w:tbl>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r>
        <w:rPr>
          <w:rFonts w:ascii="Arial" w:hAnsi="Arial"/>
          <w:b/>
          <w:color w:val="000000"/>
          <w:sz w:val="24"/>
          <w:lang w:val="es-EC"/>
        </w:rPr>
        <w:t xml:space="preserve">         *</w:t>
      </w:r>
      <w:r>
        <w:rPr>
          <w:rFonts w:ascii="Arial" w:hAnsi="Arial"/>
          <w:b/>
          <w:color w:val="000000"/>
          <w:sz w:val="18"/>
          <w:lang w:val="es-EC"/>
        </w:rPr>
        <w:t>Incluye los demás países</w:t>
      </w: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b/>
          <w:color w:val="000000"/>
          <w:sz w:val="24"/>
          <w:lang w:val="es-EC"/>
        </w:rPr>
      </w:pPr>
    </w:p>
    <w:p w:rsidR="00000000" w:rsidRDefault="00614B1E">
      <w:pPr>
        <w:ind w:left="426"/>
        <w:jc w:val="both"/>
        <w:rPr>
          <w:rFonts w:ascii="Arial" w:hAnsi="Arial"/>
          <w:color w:val="000000"/>
          <w:sz w:val="24"/>
          <w:lang w:val="es-EC"/>
        </w:rPr>
      </w:pPr>
      <w:r>
        <w:rPr>
          <w:rFonts w:ascii="Arial" w:hAnsi="Arial"/>
          <w:b/>
          <w:color w:val="000000"/>
          <w:sz w:val="24"/>
          <w:lang w:val="es-EC"/>
        </w:rPr>
        <w:t>1.3.2</w:t>
      </w:r>
      <w:r>
        <w:rPr>
          <w:rFonts w:ascii="Arial" w:hAnsi="Arial"/>
          <w:b/>
          <w:color w:val="000000"/>
          <w:sz w:val="24"/>
          <w:lang w:val="es-EC"/>
        </w:rPr>
        <w:t xml:space="preserve">  Atún en conserva</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pStyle w:val="Sangra3detindependiente"/>
      </w:pPr>
      <w:r>
        <w:t>Después de un estancamiento durante los años 1998 hasta el 2001 la producción mundial tuvo una recuperación en el 2002 causado principalmente por la creciente demanda que ha tenido en Europa y la instalación de nuevas plantas en países</w:t>
      </w:r>
      <w:r>
        <w:t xml:space="preserve"> en vías de desarrollo.</w:t>
      </w:r>
    </w:p>
    <w:p w:rsidR="00000000" w:rsidRDefault="00614B1E">
      <w:pPr>
        <w:pStyle w:val="Sangra3detindependiente"/>
      </w:pPr>
      <w:r>
        <w:rPr>
          <w:noProof/>
        </w:rPr>
        <w:pict>
          <v:shape id="_x0000_s1077" type="#_x0000_t202" style="position:absolute;left:0;text-align:left;margin-left:25.5pt;margin-top:249.1pt;width:396pt;height:52.8pt;z-index:251665920" o:allowincell="f" stroked="f">
            <v:textbox style="mso-next-textbox:#_x0000_s1077">
              <w:txbxContent>
                <w:p w:rsidR="00000000" w:rsidRDefault="00614B1E">
                  <w:pPr>
                    <w:pStyle w:val="Sangra2detindependiente"/>
                  </w:pPr>
                  <w:r>
                    <w:t>Gráfico 5   Producción mundial de atún en lata (1000 x TM)</w:t>
                  </w:r>
                </w:p>
                <w:p w:rsidR="00000000" w:rsidRPr="00CE65AE" w:rsidRDefault="00614B1E">
                  <w:pPr>
                    <w:pStyle w:val="Sangra2detindependiente"/>
                    <w:rPr>
                      <w:lang w:val="es-ES"/>
                    </w:rPr>
                  </w:pPr>
                  <w:r w:rsidRPr="00CE65AE">
                    <w:rPr>
                      <w:lang w:val="es-ES"/>
                    </w:rPr>
                    <w:t xml:space="preserve"> </w:t>
                  </w:r>
                </w:p>
                <w:p w:rsidR="00000000" w:rsidRDefault="00614B1E">
                  <w:pPr>
                    <w:pStyle w:val="Sangra2detindependiente"/>
                    <w:rPr>
                      <w:sz w:val="20"/>
                      <w:lang w:val="en-US"/>
                    </w:rPr>
                  </w:pPr>
                  <w:r>
                    <w:rPr>
                      <w:sz w:val="20"/>
                      <w:lang w:val="en-US"/>
                    </w:rPr>
                    <w:t>Fuente: Global World Tuna Markets</w:t>
                  </w:r>
                </w:p>
                <w:p w:rsidR="00000000" w:rsidRDefault="00614B1E"/>
              </w:txbxContent>
            </v:textbox>
          </v:shape>
        </w:pict>
      </w:r>
      <w:r w:rsidR="00CE65AE">
        <w:rPr>
          <w:noProof/>
          <w:lang w:val="es-ES"/>
        </w:rPr>
        <w:drawing>
          <wp:anchor distT="0" distB="0" distL="114300" distR="114300" simplePos="0" relativeHeight="251664896" behindDoc="0" locked="0" layoutInCell="0" allowOverlap="1">
            <wp:simplePos x="0" y="0"/>
            <wp:positionH relativeFrom="column">
              <wp:posOffset>554355</wp:posOffset>
            </wp:positionH>
            <wp:positionV relativeFrom="paragraph">
              <wp:posOffset>763270</wp:posOffset>
            </wp:positionV>
            <wp:extent cx="4588510" cy="2311400"/>
            <wp:effectExtent l="0" t="0" r="0" b="0"/>
            <wp:wrapTopAndBottom/>
            <wp:docPr id="45" name="Objeto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t>Entre los principales productores de atún enlatado se encuentran Tailandia, Estados Unidos, España, Japón e Italia.</w:t>
      </w:r>
    </w:p>
    <w:p w:rsidR="00000000" w:rsidRDefault="00CE65AE">
      <w:pPr>
        <w:spacing w:line="480" w:lineRule="auto"/>
        <w:ind w:left="993"/>
        <w:jc w:val="both"/>
        <w:rPr>
          <w:rFonts w:ascii="Arial" w:hAnsi="Arial"/>
          <w:color w:val="000000"/>
          <w:sz w:val="24"/>
          <w:lang w:val="es-EC"/>
        </w:rPr>
      </w:pPr>
      <w:r>
        <w:rPr>
          <w:noProof/>
          <w:lang w:val="es-ES"/>
        </w:rPr>
        <w:lastRenderedPageBreak/>
        <w:drawing>
          <wp:anchor distT="0" distB="0" distL="114300" distR="114300" simplePos="0" relativeHeight="251659776" behindDoc="0" locked="0" layoutInCell="0" allowOverlap="1">
            <wp:simplePos x="0" y="0"/>
            <wp:positionH relativeFrom="column">
              <wp:posOffset>554355</wp:posOffset>
            </wp:positionH>
            <wp:positionV relativeFrom="paragraph">
              <wp:posOffset>1912620</wp:posOffset>
            </wp:positionV>
            <wp:extent cx="4582795" cy="2354580"/>
            <wp:effectExtent l="0" t="0" r="0" b="0"/>
            <wp:wrapTopAndBottom/>
            <wp:docPr id="35" name="Objet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14B1E">
        <w:rPr>
          <w:rFonts w:ascii="Arial" w:hAnsi="Arial"/>
          <w:color w:val="000000"/>
          <w:sz w:val="24"/>
          <w:lang w:val="es-EC"/>
        </w:rPr>
        <w:t>Por otra parte, el nivel de exportaciones en términos monetarios ha caído notablemente desde 1998 aunque muestran</w:t>
      </w:r>
      <w:r w:rsidR="00614B1E">
        <w:rPr>
          <w:rFonts w:ascii="Arial" w:hAnsi="Arial"/>
          <w:color w:val="000000"/>
          <w:sz w:val="24"/>
          <w:lang w:val="es-EC"/>
        </w:rPr>
        <w:t xml:space="preserve"> signos de recuperación en el 2002, causado principalmente por el repunte de las exportaciones tailandesas y el crecimiento de las exportaciones en países como España y Ecuador.</w:t>
      </w:r>
    </w:p>
    <w:p w:rsidR="00000000" w:rsidRDefault="00614B1E">
      <w:pPr>
        <w:pStyle w:val="Textoindependiente"/>
      </w:pPr>
    </w:p>
    <w:p w:rsidR="00000000" w:rsidRDefault="00614B1E">
      <w:pPr>
        <w:pStyle w:val="Textoindependiente"/>
      </w:pPr>
      <w:r>
        <w:t xml:space="preserve">        Gráfico 6   Exportaciones mundiales de atún en lata (millones US$)</w:t>
      </w:r>
    </w:p>
    <w:p w:rsidR="00000000" w:rsidRDefault="00614B1E">
      <w:pPr>
        <w:pStyle w:val="Textoindependiente"/>
      </w:pPr>
    </w:p>
    <w:p w:rsidR="00000000" w:rsidRDefault="00614B1E">
      <w:pPr>
        <w:pStyle w:val="Textoindependiente"/>
        <w:rPr>
          <w:b w:val="0"/>
          <w:color w:val="000000"/>
          <w:sz w:val="20"/>
          <w:lang w:val="es-ES"/>
        </w:rPr>
      </w:pPr>
      <w:r>
        <w:rPr>
          <w:b w:val="0"/>
          <w:color w:val="000000"/>
          <w:sz w:val="20"/>
          <w:lang w:val="es-ES"/>
        </w:rPr>
        <w:t>F</w:t>
      </w:r>
      <w:r>
        <w:rPr>
          <w:b w:val="0"/>
          <w:color w:val="000000"/>
          <w:sz w:val="20"/>
          <w:lang w:val="es-ES"/>
        </w:rPr>
        <w:t>uente: Global World Tuna Markets</w:t>
      </w:r>
    </w:p>
    <w:p w:rsidR="00000000" w:rsidRDefault="00CE65AE">
      <w:pPr>
        <w:pStyle w:val="Textoindependiente"/>
        <w:rPr>
          <w:b w:val="0"/>
          <w:color w:val="000000"/>
          <w:sz w:val="20"/>
          <w:lang w:val="es-ES"/>
        </w:rPr>
      </w:pPr>
      <w:r>
        <w:rPr>
          <w:noProof/>
          <w:lang w:val="es-ES"/>
        </w:rPr>
        <w:drawing>
          <wp:anchor distT="0" distB="0" distL="114300" distR="114300" simplePos="0" relativeHeight="251649536" behindDoc="0" locked="0" layoutInCell="0" allowOverlap="1">
            <wp:simplePos x="0" y="0"/>
            <wp:positionH relativeFrom="column">
              <wp:posOffset>388620</wp:posOffset>
            </wp:positionH>
            <wp:positionV relativeFrom="paragraph">
              <wp:posOffset>204470</wp:posOffset>
            </wp:positionV>
            <wp:extent cx="4846320" cy="2293620"/>
            <wp:effectExtent l="0" t="0" r="0" b="0"/>
            <wp:wrapTopAndBottom/>
            <wp:docPr id="12" name="Objet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00000" w:rsidRDefault="00614B1E">
      <w:pPr>
        <w:pStyle w:val="Textoindependiente"/>
        <w:rPr>
          <w:b w:val="0"/>
          <w:color w:val="000000"/>
          <w:sz w:val="20"/>
          <w:lang w:val="es-ES"/>
        </w:rPr>
      </w:pPr>
      <w:r>
        <w:rPr>
          <w:b w:val="0"/>
          <w:noProof/>
          <w:color w:val="000000"/>
          <w:sz w:val="20"/>
        </w:rPr>
        <w:pict>
          <v:shape id="_x0000_s1083" type="#_x0000_t202" style="position:absolute;left:0;text-align:left;margin-left:23.4pt;margin-top:189.8pt;width:396pt;height:52.8pt;z-index:251667968" o:allowincell="f" stroked="f">
            <v:textbox style="mso-next-textbox:#_x0000_s1083">
              <w:txbxContent>
                <w:p w:rsidR="00000000" w:rsidRDefault="00614B1E">
                  <w:pPr>
                    <w:pStyle w:val="Sangra2detindependiente"/>
                    <w:ind w:left="0"/>
                    <w:jc w:val="left"/>
                  </w:pPr>
                  <w:r>
                    <w:t>Gráfico 7   Principales exportadores de atún en lata (millones US$)</w:t>
                  </w:r>
                </w:p>
                <w:p w:rsidR="00000000" w:rsidRDefault="00614B1E">
                  <w:pPr>
                    <w:pStyle w:val="Sangra2detindependiente"/>
                  </w:pPr>
                </w:p>
                <w:p w:rsidR="00000000" w:rsidRDefault="00614B1E">
                  <w:pPr>
                    <w:pStyle w:val="Sangra2detindependiente"/>
                    <w:rPr>
                      <w:b w:val="0"/>
                      <w:sz w:val="20"/>
                      <w:lang w:val="en-US"/>
                    </w:rPr>
                  </w:pPr>
                  <w:r>
                    <w:rPr>
                      <w:b w:val="0"/>
                      <w:sz w:val="20"/>
                      <w:lang w:val="en-US"/>
                    </w:rPr>
                    <w:t>Fuente: Global World Tuna Markets</w:t>
                  </w:r>
                </w:p>
                <w:p w:rsidR="00000000" w:rsidRDefault="00614B1E"/>
              </w:txbxContent>
            </v:textbox>
          </v:shape>
        </w:pict>
      </w:r>
    </w:p>
    <w:p w:rsidR="00000000" w:rsidRPr="00CE65AE" w:rsidRDefault="00614B1E">
      <w:pPr>
        <w:ind w:left="426"/>
        <w:jc w:val="both"/>
        <w:rPr>
          <w:rFonts w:ascii="Arial" w:hAnsi="Arial"/>
          <w:b/>
          <w:color w:val="000000"/>
          <w:sz w:val="24"/>
          <w:lang w:val="es-ES"/>
        </w:rPr>
      </w:pPr>
    </w:p>
    <w:p w:rsidR="00000000" w:rsidRDefault="00614B1E">
      <w:pPr>
        <w:jc w:val="both"/>
        <w:rPr>
          <w:rFonts w:ascii="Arial" w:hAnsi="Arial"/>
          <w:b/>
          <w:color w:val="000000"/>
          <w:sz w:val="24"/>
          <w:lang w:val="es-EC"/>
        </w:rPr>
      </w:pPr>
      <w:r>
        <w:rPr>
          <w:rFonts w:ascii="Arial" w:hAnsi="Arial"/>
          <w:b/>
          <w:color w:val="000000"/>
          <w:sz w:val="24"/>
          <w:lang w:val="es-EC"/>
        </w:rPr>
        <w:lastRenderedPageBreak/>
        <w:t xml:space="preserve">1.4 </w:t>
      </w:r>
      <w:r>
        <w:rPr>
          <w:rFonts w:ascii="Arial" w:hAnsi="Arial"/>
          <w:b/>
          <w:sz w:val="24"/>
          <w:lang w:val="es-ES"/>
        </w:rPr>
        <w:t>Situación del Ecuador en el mercado del atún</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La industria conservera en el Ecuador tuvo sus inicios en la década del 50, cuando al comienzo, la totalidad de productos en conservas provenían del exterior principal</w:t>
      </w:r>
      <w:r>
        <w:rPr>
          <w:rFonts w:ascii="Arial" w:hAnsi="Arial"/>
          <w:color w:val="000000"/>
          <w:sz w:val="24"/>
          <w:lang w:val="es-EC"/>
        </w:rPr>
        <w:t>mente de los Estados Unidos.  Las primeras plantas conserveras se instalaron en el país encontrando grandes dificultades para competir con el producto extranjero que ya gozaba de una identificación y preferencia de los consumidores. Sin embargo, en la déca</w:t>
      </w:r>
      <w:r>
        <w:rPr>
          <w:rFonts w:ascii="Arial" w:hAnsi="Arial"/>
          <w:color w:val="000000"/>
          <w:sz w:val="24"/>
          <w:lang w:val="es-EC"/>
        </w:rPr>
        <w:t xml:space="preserve">da del 60 los gobiernos comenzaron a dar protecciones arancelarias al producto nacional, lo que paulatinamente fue desplazando a las conservas importadas.  </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En los años 70, con el crecimiento de la industria nacional, apareció la primera fábrica de envas</w:t>
      </w:r>
      <w:r>
        <w:rPr>
          <w:rFonts w:ascii="Arial" w:hAnsi="Arial"/>
          <w:color w:val="000000"/>
          <w:sz w:val="24"/>
          <w:lang w:val="es-EC"/>
        </w:rPr>
        <w:t>es metálicos y se produjo un notable incremento en la flota pesquera y en el número de puertos a lo largo del país, favorecido también por el proceso de estatización que tuvo el Perú y que llevó al Ecuador a la adquisición de un gran número de embarcacione</w:t>
      </w:r>
      <w:r>
        <w:rPr>
          <w:rFonts w:ascii="Arial" w:hAnsi="Arial"/>
          <w:color w:val="000000"/>
          <w:sz w:val="24"/>
          <w:lang w:val="es-EC"/>
        </w:rPr>
        <w:t>s peruanas.</w:t>
      </w:r>
    </w:p>
    <w:p w:rsidR="00000000" w:rsidRDefault="00614B1E">
      <w:pPr>
        <w:ind w:left="426"/>
        <w:jc w:val="both"/>
        <w:rPr>
          <w:rFonts w:ascii="Arial" w:hAnsi="Arial"/>
          <w:color w:val="000000"/>
          <w:sz w:val="24"/>
          <w:lang w:val="es-EC"/>
        </w:rPr>
      </w:pPr>
    </w:p>
    <w:p w:rsidR="00000000" w:rsidRDefault="00614B1E">
      <w:pPr>
        <w:ind w:left="426"/>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A finales de la década del 70, las plantas conserveras inician una transformación tecnológica sustancial tanto para  el procesamiento de atún como de sardinas. Durante la década de los 80, 90 y 2000, la sobreproducción  mundial ha causado una</w:t>
      </w:r>
      <w:r>
        <w:rPr>
          <w:rFonts w:ascii="Arial" w:hAnsi="Arial"/>
          <w:color w:val="000000"/>
          <w:sz w:val="24"/>
          <w:lang w:val="es-EC"/>
        </w:rPr>
        <w:t xml:space="preserve"> caída en los precios lo que ha </w:t>
      </w:r>
      <w:r>
        <w:rPr>
          <w:rFonts w:ascii="Arial" w:hAnsi="Arial"/>
          <w:color w:val="000000"/>
          <w:sz w:val="24"/>
          <w:lang w:val="es-EC"/>
        </w:rPr>
        <w:lastRenderedPageBreak/>
        <w:t>obligado a las plantas a mejorar su eficiencia mucho más para poder subsistir y entre ellas la industria conservera ecuatoriana en su gran mayoría se ha mantenido actualizada con los cambios tecnológicos, lo que la lleva a e</w:t>
      </w:r>
      <w:r>
        <w:rPr>
          <w:rFonts w:ascii="Arial" w:hAnsi="Arial"/>
          <w:color w:val="000000"/>
          <w:sz w:val="24"/>
          <w:lang w:val="es-EC"/>
        </w:rPr>
        <w:t xml:space="preserve">star entre las mejores del mundo.   </w:t>
      </w:r>
    </w:p>
    <w:p w:rsidR="00000000" w:rsidRDefault="00614B1E">
      <w:pPr>
        <w:ind w:left="426"/>
        <w:jc w:val="both"/>
        <w:rPr>
          <w:rFonts w:ascii="Arial" w:hAnsi="Arial"/>
          <w:color w:val="000000"/>
          <w:sz w:val="24"/>
          <w:lang w:val="es-EC"/>
        </w:rPr>
      </w:pPr>
    </w:p>
    <w:p w:rsidR="00000000" w:rsidRDefault="00614B1E">
      <w:pPr>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El desarrollo del sector atunero en el Ecuador en los últimos años ha sido acelerado, convirtiéndolo en una de los principales fuentes generadores de divisas y nuevos empleos en el país.  El Ecuador exportó en los últ</w:t>
      </w:r>
      <w:r>
        <w:rPr>
          <w:rFonts w:ascii="Arial" w:hAnsi="Arial"/>
          <w:color w:val="000000"/>
          <w:sz w:val="24"/>
          <w:lang w:val="es-EC"/>
        </w:rPr>
        <w:t xml:space="preserve">imos 3 años de forma ascendente mas de 250.000 toneladas de atún entre atún fresco, lomos precocinados congelados y atún en conservas.  </w:t>
      </w: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rFonts w:ascii="Arial" w:hAnsi="Arial"/>
          <w:color w:val="000000"/>
          <w:sz w:val="24"/>
          <w:lang w:val="es-EC"/>
        </w:rPr>
      </w:pPr>
    </w:p>
    <w:p w:rsidR="00000000" w:rsidRDefault="00614B1E">
      <w:pPr>
        <w:spacing w:line="480" w:lineRule="auto"/>
        <w:ind w:left="425"/>
        <w:jc w:val="both"/>
        <w:rPr>
          <w:color w:val="000000"/>
          <w:sz w:val="24"/>
          <w:lang w:val="es-ES"/>
        </w:rPr>
      </w:pPr>
      <w:r>
        <w:rPr>
          <w:rFonts w:ascii="Arial" w:hAnsi="Arial"/>
          <w:noProof/>
          <w:color w:val="000000"/>
          <w:sz w:val="24"/>
        </w:rPr>
        <w:pict>
          <v:group id="_x0000_s1087" style="position:absolute;left:0;text-align:left;margin-left:136.8pt;margin-top:388.8pt;width:393.75pt;height:223.2pt;z-index:251668992;mso-position-horizontal-relative:page;mso-position-vertical-relative:page" coordorigin="2592,10080" coordsize="7875,4464" o:allowincell="f">
            <v:shape id="_x0000_s1085" type="#_x0000_t75" style="position:absolute;left:2592;top:10080;width:7875;height:3559" o:preferrelative="f">
              <v:imagedata r:id="rId20" o:title=""/>
              <o:lock v:ext="edit" aspectratio="f"/>
            </v:shape>
            <v:shape id="_x0000_s1086" type="#_x0000_t202" style="position:absolute;left:3459;top:13680;width:6768;height:864" stroked="f">
              <v:textbox style="mso-next-textbox:#_x0000_s1086">
                <w:txbxContent>
                  <w:p w:rsidR="00000000" w:rsidRDefault="00614B1E">
                    <w:pPr>
                      <w:ind w:left="426"/>
                      <w:jc w:val="center"/>
                      <w:rPr>
                        <w:rFonts w:ascii="Arial" w:hAnsi="Arial"/>
                        <w:b/>
                        <w:color w:val="000000"/>
                        <w:sz w:val="24"/>
                        <w:lang w:val="es-EC"/>
                      </w:rPr>
                    </w:pPr>
                    <w:r>
                      <w:rPr>
                        <w:rFonts w:ascii="Arial" w:hAnsi="Arial"/>
                        <w:b/>
                        <w:color w:val="000000"/>
                        <w:sz w:val="24"/>
                        <w:lang w:val="es-EC"/>
                      </w:rPr>
                      <w:t>Gráfico 8  Exportaciones ecuatorianas de atún (TM)</w:t>
                    </w:r>
                    <w:r>
                      <w:rPr>
                        <w:rFonts w:ascii="Arial" w:hAnsi="Arial"/>
                        <w:b/>
                        <w:color w:val="000000"/>
                        <w:sz w:val="24"/>
                        <w:lang w:val="es-EC"/>
                      </w:rPr>
                      <w:t xml:space="preserve"> </w:t>
                    </w:r>
                  </w:p>
                  <w:p w:rsidR="00000000" w:rsidRDefault="00614B1E">
                    <w:pPr>
                      <w:ind w:left="426"/>
                      <w:jc w:val="center"/>
                      <w:rPr>
                        <w:rFonts w:ascii="Arial" w:hAnsi="Arial"/>
                        <w:color w:val="000000"/>
                        <w:lang w:val="es-ES"/>
                      </w:rPr>
                    </w:pPr>
                    <w:r>
                      <w:rPr>
                        <w:rFonts w:ascii="Arial" w:hAnsi="Arial"/>
                        <w:color w:val="000000"/>
                        <w:lang w:val="es-ES"/>
                      </w:rPr>
                      <w:t xml:space="preserve">               </w:t>
                    </w:r>
                  </w:p>
                  <w:p w:rsidR="00000000" w:rsidRDefault="00614B1E">
                    <w:pPr>
                      <w:ind w:left="426"/>
                      <w:jc w:val="center"/>
                      <w:rPr>
                        <w:color w:val="000000"/>
                        <w:lang w:val="es-ES"/>
                      </w:rPr>
                    </w:pPr>
                    <w:r>
                      <w:rPr>
                        <w:rFonts w:ascii="Arial" w:hAnsi="Arial"/>
                        <w:color w:val="000000"/>
                        <w:lang w:val="es-ES"/>
                      </w:rPr>
                      <w:t>Fuente: CORPEI</w:t>
                    </w:r>
                  </w:p>
                  <w:p w:rsidR="00000000" w:rsidRDefault="00614B1E"/>
                </w:txbxContent>
              </v:textbox>
            </v:shape>
            <w10:wrap anchorx="page" anchory="page"/>
          </v:group>
          <o:OLEObject Type="Embed" ProgID="Excel.Sheet.8" ShapeID="_x0000_s1085" DrawAspect="Content" ObjectID="_1307353628" r:id="rId21"/>
        </w:pict>
      </w:r>
    </w:p>
    <w:p w:rsidR="00000000" w:rsidRDefault="00614B1E">
      <w:pPr>
        <w:rPr>
          <w:color w:val="000000"/>
          <w:sz w:val="24"/>
          <w:lang w:val="es-ES"/>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4"/>
        <w:gridCol w:w="2268"/>
        <w:gridCol w:w="1985"/>
        <w:gridCol w:w="1984"/>
      </w:tblGrid>
      <w:tr w:rsidR="00000000">
        <w:tblPrEx>
          <w:tblCellMar>
            <w:top w:w="0" w:type="dxa"/>
            <w:bottom w:w="0" w:type="dxa"/>
          </w:tblCellMar>
        </w:tblPrEx>
        <w:trPr>
          <w:trHeight w:val="397"/>
        </w:trPr>
        <w:tc>
          <w:tcPr>
            <w:tcW w:w="1984" w:type="dxa"/>
            <w:vAlign w:val="center"/>
          </w:tcPr>
          <w:p w:rsidR="00000000" w:rsidRDefault="00614B1E">
            <w:pPr>
              <w:ind w:left="426"/>
              <w:jc w:val="center"/>
              <w:rPr>
                <w:rFonts w:ascii="Arial" w:hAnsi="Arial"/>
                <w:color w:val="000000"/>
                <w:sz w:val="24"/>
                <w:lang w:val="es-ES"/>
              </w:rPr>
            </w:pPr>
          </w:p>
        </w:tc>
        <w:tc>
          <w:tcPr>
            <w:tcW w:w="2268" w:type="dxa"/>
            <w:vAlign w:val="center"/>
          </w:tcPr>
          <w:p w:rsidR="00000000" w:rsidRDefault="00614B1E">
            <w:pPr>
              <w:jc w:val="center"/>
              <w:rPr>
                <w:rFonts w:ascii="Arial" w:hAnsi="Arial"/>
                <w:b/>
                <w:color w:val="000000"/>
                <w:sz w:val="24"/>
                <w:lang w:val="es-ES"/>
              </w:rPr>
            </w:pPr>
            <w:r>
              <w:rPr>
                <w:rFonts w:ascii="Arial" w:hAnsi="Arial"/>
                <w:b/>
                <w:color w:val="000000"/>
                <w:sz w:val="24"/>
                <w:lang w:val="es-ES"/>
              </w:rPr>
              <w:t>2001</w:t>
            </w:r>
          </w:p>
        </w:tc>
        <w:tc>
          <w:tcPr>
            <w:tcW w:w="1985" w:type="dxa"/>
            <w:vAlign w:val="center"/>
          </w:tcPr>
          <w:p w:rsidR="00000000" w:rsidRDefault="00614B1E">
            <w:pPr>
              <w:jc w:val="center"/>
              <w:rPr>
                <w:rFonts w:ascii="Arial" w:hAnsi="Arial"/>
                <w:b/>
                <w:color w:val="000000"/>
                <w:sz w:val="24"/>
                <w:lang w:val="es-ES"/>
              </w:rPr>
            </w:pPr>
            <w:r>
              <w:rPr>
                <w:rFonts w:ascii="Arial" w:hAnsi="Arial"/>
                <w:b/>
                <w:color w:val="000000"/>
                <w:sz w:val="24"/>
                <w:lang w:val="es-ES"/>
              </w:rPr>
              <w:t>2002</w:t>
            </w:r>
          </w:p>
        </w:tc>
        <w:tc>
          <w:tcPr>
            <w:tcW w:w="1984" w:type="dxa"/>
            <w:vAlign w:val="center"/>
          </w:tcPr>
          <w:p w:rsidR="00000000" w:rsidRDefault="00614B1E">
            <w:pPr>
              <w:jc w:val="center"/>
              <w:rPr>
                <w:rFonts w:ascii="Arial" w:hAnsi="Arial"/>
                <w:b/>
                <w:color w:val="000000"/>
                <w:sz w:val="24"/>
                <w:lang w:val="es-ES"/>
              </w:rPr>
            </w:pPr>
            <w:r>
              <w:rPr>
                <w:rFonts w:ascii="Arial" w:hAnsi="Arial"/>
                <w:b/>
                <w:color w:val="000000"/>
                <w:sz w:val="24"/>
                <w:lang w:val="es-ES"/>
              </w:rPr>
              <w:t>2003</w:t>
            </w:r>
          </w:p>
        </w:tc>
      </w:tr>
      <w:tr w:rsidR="00000000">
        <w:tblPrEx>
          <w:tblCellMar>
            <w:top w:w="0" w:type="dxa"/>
            <w:bottom w:w="0" w:type="dxa"/>
          </w:tblCellMar>
        </w:tblPrEx>
        <w:trPr>
          <w:trHeight w:val="397"/>
        </w:trPr>
        <w:tc>
          <w:tcPr>
            <w:tcW w:w="1984" w:type="dxa"/>
            <w:vAlign w:val="center"/>
          </w:tcPr>
          <w:p w:rsidR="00000000" w:rsidRDefault="00614B1E">
            <w:pPr>
              <w:jc w:val="center"/>
              <w:rPr>
                <w:rFonts w:ascii="Arial" w:hAnsi="Arial"/>
                <w:b/>
                <w:color w:val="000000"/>
                <w:sz w:val="24"/>
                <w:lang w:val="es-ES"/>
              </w:rPr>
            </w:pPr>
            <w:r>
              <w:rPr>
                <w:rFonts w:ascii="Arial" w:hAnsi="Arial"/>
                <w:b/>
                <w:color w:val="000000"/>
                <w:sz w:val="24"/>
                <w:lang w:val="es-ES"/>
              </w:rPr>
              <w:t>Fresco</w:t>
            </w:r>
          </w:p>
        </w:tc>
        <w:tc>
          <w:tcPr>
            <w:tcW w:w="2268"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1.130</w:t>
            </w:r>
          </w:p>
        </w:tc>
        <w:tc>
          <w:tcPr>
            <w:tcW w:w="1985"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1.079</w:t>
            </w:r>
          </w:p>
        </w:tc>
        <w:tc>
          <w:tcPr>
            <w:tcW w:w="1984"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2.325</w:t>
            </w:r>
          </w:p>
        </w:tc>
      </w:tr>
      <w:tr w:rsidR="00000000">
        <w:tblPrEx>
          <w:tblCellMar>
            <w:top w:w="0" w:type="dxa"/>
            <w:bottom w:w="0" w:type="dxa"/>
          </w:tblCellMar>
        </w:tblPrEx>
        <w:trPr>
          <w:trHeight w:val="397"/>
        </w:trPr>
        <w:tc>
          <w:tcPr>
            <w:tcW w:w="1984" w:type="dxa"/>
            <w:vAlign w:val="center"/>
          </w:tcPr>
          <w:p w:rsidR="00000000" w:rsidRDefault="00614B1E">
            <w:pPr>
              <w:jc w:val="center"/>
              <w:rPr>
                <w:rFonts w:ascii="Arial" w:hAnsi="Arial"/>
                <w:b/>
                <w:color w:val="000000"/>
                <w:sz w:val="24"/>
                <w:lang w:val="es-ES"/>
              </w:rPr>
            </w:pPr>
            <w:r>
              <w:rPr>
                <w:rFonts w:ascii="Arial" w:hAnsi="Arial"/>
                <w:b/>
                <w:color w:val="000000"/>
                <w:sz w:val="24"/>
                <w:lang w:val="es-ES"/>
              </w:rPr>
              <w:t>Congelado</w:t>
            </w:r>
          </w:p>
        </w:tc>
        <w:tc>
          <w:tcPr>
            <w:tcW w:w="2268"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18.726</w:t>
            </w:r>
          </w:p>
        </w:tc>
        <w:tc>
          <w:tcPr>
            <w:tcW w:w="1985"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9.218</w:t>
            </w:r>
          </w:p>
        </w:tc>
        <w:tc>
          <w:tcPr>
            <w:tcW w:w="1984"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3.306</w:t>
            </w:r>
          </w:p>
        </w:tc>
      </w:tr>
      <w:tr w:rsidR="00000000">
        <w:tblPrEx>
          <w:tblCellMar>
            <w:top w:w="0" w:type="dxa"/>
            <w:bottom w:w="0" w:type="dxa"/>
          </w:tblCellMar>
        </w:tblPrEx>
        <w:trPr>
          <w:trHeight w:val="397"/>
        </w:trPr>
        <w:tc>
          <w:tcPr>
            <w:tcW w:w="1984" w:type="dxa"/>
            <w:vAlign w:val="center"/>
          </w:tcPr>
          <w:p w:rsidR="00000000" w:rsidRDefault="00614B1E">
            <w:pPr>
              <w:jc w:val="center"/>
              <w:rPr>
                <w:rFonts w:ascii="Arial" w:hAnsi="Arial"/>
                <w:b/>
                <w:color w:val="000000"/>
                <w:sz w:val="24"/>
                <w:lang w:val="es-ES"/>
              </w:rPr>
            </w:pPr>
            <w:r>
              <w:rPr>
                <w:rFonts w:ascii="Arial" w:hAnsi="Arial"/>
                <w:b/>
                <w:color w:val="000000"/>
                <w:sz w:val="24"/>
                <w:lang w:val="es-ES"/>
              </w:rPr>
              <w:t>Conserva</w:t>
            </w:r>
          </w:p>
        </w:tc>
        <w:tc>
          <w:tcPr>
            <w:tcW w:w="2268"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65.906</w:t>
            </w:r>
          </w:p>
        </w:tc>
        <w:tc>
          <w:tcPr>
            <w:tcW w:w="1985"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80.697</w:t>
            </w:r>
          </w:p>
        </w:tc>
        <w:tc>
          <w:tcPr>
            <w:tcW w:w="1984" w:type="dxa"/>
            <w:vAlign w:val="center"/>
          </w:tcPr>
          <w:p w:rsidR="00000000" w:rsidRDefault="00614B1E">
            <w:pPr>
              <w:jc w:val="center"/>
              <w:rPr>
                <w:rFonts w:ascii="Arial" w:hAnsi="Arial"/>
                <w:snapToGrid w:val="0"/>
                <w:color w:val="000000"/>
                <w:sz w:val="24"/>
                <w:lang w:val="es-ES"/>
              </w:rPr>
            </w:pPr>
            <w:r>
              <w:rPr>
                <w:rFonts w:ascii="Arial" w:hAnsi="Arial"/>
                <w:snapToGrid w:val="0"/>
                <w:color w:val="000000"/>
                <w:sz w:val="24"/>
                <w:lang w:val="es-ES"/>
              </w:rPr>
              <w:t>96.510</w:t>
            </w:r>
          </w:p>
        </w:tc>
      </w:tr>
      <w:tr w:rsidR="00000000">
        <w:tblPrEx>
          <w:tblCellMar>
            <w:top w:w="0" w:type="dxa"/>
            <w:bottom w:w="0" w:type="dxa"/>
          </w:tblCellMar>
        </w:tblPrEx>
        <w:trPr>
          <w:trHeight w:val="397"/>
        </w:trPr>
        <w:tc>
          <w:tcPr>
            <w:tcW w:w="1984" w:type="dxa"/>
            <w:vAlign w:val="center"/>
          </w:tcPr>
          <w:p w:rsidR="00000000" w:rsidRDefault="00614B1E">
            <w:pPr>
              <w:jc w:val="center"/>
              <w:rPr>
                <w:rFonts w:ascii="Arial" w:hAnsi="Arial"/>
                <w:b/>
                <w:color w:val="000000"/>
                <w:sz w:val="24"/>
                <w:lang w:val="es-ES"/>
              </w:rPr>
            </w:pPr>
            <w:r>
              <w:rPr>
                <w:rFonts w:ascii="Arial" w:hAnsi="Arial"/>
                <w:b/>
                <w:color w:val="000000"/>
                <w:sz w:val="24"/>
                <w:lang w:val="es-ES"/>
              </w:rPr>
              <w:t>TOTAL</w:t>
            </w:r>
          </w:p>
        </w:tc>
        <w:tc>
          <w:tcPr>
            <w:tcW w:w="2268" w:type="dxa"/>
            <w:vAlign w:val="center"/>
          </w:tcPr>
          <w:p w:rsidR="00000000" w:rsidRDefault="00614B1E">
            <w:pPr>
              <w:jc w:val="center"/>
              <w:rPr>
                <w:rFonts w:ascii="Arial" w:hAnsi="Arial"/>
                <w:b/>
                <w:snapToGrid w:val="0"/>
                <w:color w:val="000000"/>
                <w:sz w:val="24"/>
                <w:lang w:val="es-ES"/>
              </w:rPr>
            </w:pPr>
            <w:r>
              <w:rPr>
                <w:rFonts w:ascii="Arial" w:hAnsi="Arial"/>
                <w:b/>
                <w:snapToGrid w:val="0"/>
                <w:color w:val="000000"/>
                <w:sz w:val="24"/>
                <w:lang w:val="es-ES"/>
              </w:rPr>
              <w:t>85.762</w:t>
            </w:r>
          </w:p>
        </w:tc>
        <w:tc>
          <w:tcPr>
            <w:tcW w:w="1985" w:type="dxa"/>
            <w:vAlign w:val="center"/>
          </w:tcPr>
          <w:p w:rsidR="00000000" w:rsidRDefault="00614B1E">
            <w:pPr>
              <w:jc w:val="center"/>
              <w:rPr>
                <w:rFonts w:ascii="Arial" w:hAnsi="Arial"/>
                <w:b/>
                <w:snapToGrid w:val="0"/>
                <w:color w:val="000000"/>
                <w:sz w:val="24"/>
                <w:lang w:val="es-ES"/>
              </w:rPr>
            </w:pPr>
            <w:r>
              <w:rPr>
                <w:rFonts w:ascii="Arial" w:hAnsi="Arial"/>
                <w:b/>
                <w:snapToGrid w:val="0"/>
                <w:color w:val="000000"/>
                <w:sz w:val="24"/>
                <w:lang w:val="es-ES"/>
              </w:rPr>
              <w:t>90.994</w:t>
            </w:r>
          </w:p>
        </w:tc>
        <w:tc>
          <w:tcPr>
            <w:tcW w:w="1984" w:type="dxa"/>
            <w:vAlign w:val="center"/>
          </w:tcPr>
          <w:p w:rsidR="00000000" w:rsidRDefault="00614B1E">
            <w:pPr>
              <w:jc w:val="center"/>
              <w:rPr>
                <w:rFonts w:ascii="Arial" w:hAnsi="Arial"/>
                <w:b/>
                <w:snapToGrid w:val="0"/>
                <w:color w:val="000000"/>
                <w:sz w:val="24"/>
                <w:lang w:val="es-ES"/>
              </w:rPr>
            </w:pPr>
            <w:r>
              <w:rPr>
                <w:rFonts w:ascii="Arial" w:hAnsi="Arial"/>
                <w:b/>
                <w:snapToGrid w:val="0"/>
                <w:color w:val="000000"/>
                <w:sz w:val="24"/>
                <w:lang w:val="es-ES"/>
              </w:rPr>
              <w:t>102.141</w:t>
            </w:r>
          </w:p>
        </w:tc>
      </w:tr>
    </w:tbl>
    <w:p w:rsidR="00000000" w:rsidRDefault="00614B1E">
      <w:pPr>
        <w:spacing w:line="480" w:lineRule="auto"/>
        <w:ind w:left="425"/>
        <w:jc w:val="both"/>
        <w:rPr>
          <w:rFonts w:ascii="Arial" w:hAnsi="Arial"/>
          <w:color w:val="000000"/>
          <w:sz w:val="24"/>
          <w:lang w:val="es-ES"/>
        </w:rPr>
      </w:pPr>
      <w:r>
        <w:rPr>
          <w:rFonts w:ascii="Arial" w:hAnsi="Arial"/>
          <w:color w:val="000000"/>
          <w:sz w:val="24"/>
          <w:lang w:val="es-ES"/>
        </w:rPr>
        <w:lastRenderedPageBreak/>
        <w:t>Según la Revista Ecuador Pesquero sólo en el año 2000 el Ecuador procesó aproximadamente el 30% de las 603.621 toneladas de atún capturadas en el Pacífico Oriental y esto se explica debido a que además del atún capturado con flota e</w:t>
      </w:r>
      <w:r>
        <w:rPr>
          <w:rFonts w:ascii="Arial" w:hAnsi="Arial"/>
          <w:color w:val="000000"/>
          <w:sz w:val="24"/>
          <w:lang w:val="es-ES"/>
        </w:rPr>
        <w:t>cuatoriana se procesa atún capturado por embarcaciones extranjeras mediante el régimen de maquila.  Esto ha permitido potenciar la capacidad instalada de la industria atunera nacional hasta convertirla en una de las más importantes de la región.</w:t>
      </w:r>
    </w:p>
    <w:p w:rsidR="00000000" w:rsidRDefault="00614B1E">
      <w:pPr>
        <w:spacing w:line="480" w:lineRule="auto"/>
        <w:ind w:left="425"/>
        <w:jc w:val="both"/>
        <w:rPr>
          <w:rFonts w:ascii="Arial" w:hAnsi="Arial"/>
          <w:color w:val="000000"/>
          <w:sz w:val="24"/>
          <w:lang w:val="es-ES"/>
        </w:rPr>
      </w:pPr>
    </w:p>
    <w:p w:rsidR="00000000" w:rsidRDefault="00614B1E">
      <w:pPr>
        <w:spacing w:line="480" w:lineRule="auto"/>
        <w:ind w:left="425"/>
        <w:jc w:val="both"/>
        <w:rPr>
          <w:rFonts w:ascii="Arial" w:hAnsi="Arial"/>
          <w:color w:val="000000"/>
          <w:sz w:val="24"/>
          <w:lang w:val="es-EC"/>
        </w:rPr>
      </w:pPr>
      <w:r>
        <w:rPr>
          <w:rFonts w:ascii="Arial" w:hAnsi="Arial"/>
          <w:color w:val="000000"/>
          <w:sz w:val="24"/>
          <w:lang w:val="es-EC"/>
        </w:rPr>
        <w:t>Actualmen</w:t>
      </w:r>
      <w:r>
        <w:rPr>
          <w:rFonts w:ascii="Arial" w:hAnsi="Arial"/>
          <w:color w:val="000000"/>
          <w:sz w:val="24"/>
          <w:lang w:val="es-EC"/>
        </w:rPr>
        <w:t>te uno de los grandes desafíos de la industria atunera ecuatoriana es conseguir que el atún en lata ingrese al tratado de preferencias arancelarias andinas (ATPA) y de esta manera poder competir libre de impuestos en el mercado norteamericano.</w:t>
      </w:r>
    </w:p>
    <w:p w:rsidR="00000000" w:rsidRDefault="00614B1E">
      <w:pPr>
        <w:spacing w:line="480" w:lineRule="auto"/>
        <w:ind w:left="425"/>
        <w:jc w:val="both"/>
        <w:rPr>
          <w:rFonts w:ascii="Arial" w:hAnsi="Arial"/>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jc w:val="both"/>
        <w:rPr>
          <w:rFonts w:ascii="Arial" w:hAnsi="Arial"/>
          <w:b/>
          <w:color w:val="000000"/>
          <w:sz w:val="24"/>
          <w:lang w:val="es-ES"/>
        </w:rPr>
      </w:pPr>
      <w:r>
        <w:rPr>
          <w:rFonts w:ascii="Arial" w:hAnsi="Arial"/>
          <w:b/>
          <w:color w:val="000000"/>
          <w:sz w:val="24"/>
          <w:lang w:val="es-ES"/>
        </w:rPr>
        <w:lastRenderedPageBreak/>
        <w:t>1.5 Proceso de industrialización del  atún</w:t>
      </w: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color w:val="000000"/>
          <w:sz w:val="24"/>
          <w:lang w:val="es-ES"/>
        </w:rPr>
      </w:pPr>
      <w:r>
        <w:pict>
          <v:shape id="_x0000_s1088" type="#_x0000_t75" style="position:absolute;left:0;text-align:left;margin-left:0;margin-top:0;width:6in;height:537.75pt;z-index:251670016" o:allowincell="f">
            <v:imagedata r:id="rId22" o:title=""/>
            <w10:wrap type="topAndBottom"/>
          </v:shape>
          <o:OLEObject Type="Embed" ProgID="PBrush" ShapeID="_x0000_s1088" DrawAspect="Content" ObjectID="_1307353636" r:id="rId23"/>
        </w:pict>
      </w:r>
    </w:p>
    <w:p w:rsidR="00000000" w:rsidRDefault="00614B1E">
      <w:pPr>
        <w:ind w:left="426"/>
        <w:jc w:val="both"/>
        <w:rPr>
          <w:rFonts w:ascii="Arial" w:hAnsi="Arial"/>
          <w:i/>
          <w:color w:val="000000"/>
          <w:sz w:val="24"/>
          <w:u w:val="single"/>
          <w:lang w:val="es-ES"/>
        </w:rPr>
      </w:pPr>
      <w:r>
        <w:rPr>
          <w:rFonts w:ascii="Arial" w:hAnsi="Arial"/>
          <w:noProof/>
          <w:color w:val="000000"/>
          <w:sz w:val="24"/>
        </w:rPr>
        <w:pict>
          <v:shape id="_x0000_s1079" type="#_x0000_t202" style="position:absolute;left:0;text-align:left;margin-left:59.4pt;margin-top:16.95pt;width:338.4pt;height:28.8pt;z-index:251666944" o:allowincell="f" stroked="f">
            <v:textbox style="mso-next-textbox:#_x0000_s1079">
              <w:txbxContent>
                <w:p w:rsidR="00000000" w:rsidRDefault="00614B1E">
                  <w:pPr>
                    <w:rPr>
                      <w:rFonts w:ascii="Arial" w:hAnsi="Arial"/>
                      <w:b/>
                      <w:color w:val="000000"/>
                      <w:sz w:val="24"/>
                      <w:lang w:val="es-EC"/>
                    </w:rPr>
                  </w:pPr>
                  <w:r>
                    <w:rPr>
                      <w:rFonts w:ascii="Arial" w:hAnsi="Arial"/>
                      <w:b/>
                      <w:color w:val="000000"/>
                      <w:sz w:val="24"/>
                      <w:lang w:val="es-EC"/>
                    </w:rPr>
                    <w:t>Fig. 4  Proceso de industrialización del atún en conserva</w:t>
                  </w:r>
                </w:p>
              </w:txbxContent>
            </v:textbox>
            <w10:wrap type="topAndBottom"/>
          </v:shape>
        </w:pict>
      </w: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lastRenderedPageBreak/>
        <w:t>Captura en alta mar</w:t>
      </w:r>
    </w:p>
    <w:p w:rsidR="00000000" w:rsidRDefault="00614B1E">
      <w:pPr>
        <w:ind w:left="426"/>
        <w:jc w:val="both"/>
        <w:rPr>
          <w:rFonts w:ascii="Arial" w:hAnsi="Arial"/>
          <w:i/>
          <w:color w:val="000000"/>
          <w:sz w:val="24"/>
          <w:u w:val="single"/>
          <w:lang w:val="es-ES"/>
        </w:rPr>
      </w:pPr>
    </w:p>
    <w:p w:rsidR="00000000" w:rsidRDefault="00614B1E">
      <w:pPr>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La pesca de atún se la realiza principalmente en barcos con un calado de 150 a 250 pies mediante el método conocido como "red de cerco" en el cual, como su nombre lo indica, media</w:t>
      </w:r>
      <w:r>
        <w:rPr>
          <w:rFonts w:ascii="Arial" w:hAnsi="Arial"/>
          <w:color w:val="000000"/>
          <w:sz w:val="24"/>
          <w:lang w:val="es-ES"/>
        </w:rPr>
        <w:t>nte una red se forma un cerco alrededor del cardumen, la cual posteriormente se cierra atrapando una gran cantidad de peces y otros organismos vivos o muertos.  Entre los organismos vivos se cuentan los delfines, cuya captura ha originado regulaciones a ni</w:t>
      </w:r>
      <w:r>
        <w:rPr>
          <w:rFonts w:ascii="Arial" w:hAnsi="Arial"/>
          <w:color w:val="000000"/>
          <w:sz w:val="24"/>
          <w:lang w:val="es-ES"/>
        </w:rPr>
        <w:t>vel mundial para impedir su depredación.   El método de red de cerco se utiliza principalmente para los atunes que van a ser destinados a la industria conservera.</w:t>
      </w:r>
    </w:p>
    <w:p w:rsidR="00000000" w:rsidRPr="00CE65AE" w:rsidRDefault="00614B1E">
      <w:pPr>
        <w:ind w:left="426"/>
        <w:jc w:val="both"/>
        <w:rPr>
          <w:rFonts w:ascii="Arial" w:hAnsi="Arial"/>
          <w:noProof/>
          <w:color w:val="000000"/>
          <w:sz w:val="24"/>
          <w:lang w:val="es-ES"/>
        </w:rPr>
      </w:pPr>
      <w:r>
        <w:rPr>
          <w:rFonts w:ascii="Arial" w:hAnsi="Arial"/>
          <w:noProof/>
          <w:color w:val="000000"/>
          <w:sz w:val="24"/>
        </w:rPr>
        <w:pict>
          <v:shape id="_x0000_s1038" type="#_x0000_t75" style="position:absolute;left:0;text-align:left;margin-left:259.65pt;margin-top:20.6pt;width:140.25pt;height:108.6pt;z-index:251650560" o:allowincell="f">
            <v:imagedata r:id="rId24" o:title=""/>
            <w10:wrap type="topAndBottom"/>
          </v:shape>
          <o:OLEObject Type="Embed" ProgID="MSPhotoEd.3" ShapeID="_x0000_s1038" DrawAspect="Content" ObjectID="_1307353629" r:id="rId25"/>
        </w:pict>
      </w:r>
      <w:r>
        <w:rPr>
          <w:rFonts w:ascii="Arial" w:hAnsi="Arial"/>
          <w:noProof/>
          <w:color w:val="000000"/>
          <w:sz w:val="24"/>
        </w:rPr>
        <w:pict>
          <v:shape id="_x0000_s1039" type="#_x0000_t75" style="position:absolute;left:0;text-align:left;margin-left:25.65pt;margin-top:20.6pt;width:171.2pt;height:110.1pt;z-index:251651584" o:allowincell="f">
            <v:imagedata r:id="rId26" o:title=""/>
            <w10:wrap type="topAndBottom"/>
          </v:shape>
          <o:OLEObject Type="Embed" ProgID="MSPhotoEd.3" ShapeID="_x0000_s1039" DrawAspect="Content" ObjectID="_1307353630" r:id="rId27"/>
        </w:pict>
      </w:r>
    </w:p>
    <w:p w:rsidR="00000000" w:rsidRPr="00CE65AE" w:rsidRDefault="00614B1E">
      <w:pPr>
        <w:ind w:left="426"/>
        <w:jc w:val="both"/>
        <w:rPr>
          <w:rFonts w:ascii="Arial" w:hAnsi="Arial"/>
          <w:noProof/>
          <w:color w:val="000000"/>
          <w:sz w:val="24"/>
          <w:lang w:val="es-ES"/>
        </w:rPr>
      </w:pPr>
      <w:r>
        <w:rPr>
          <w:rFonts w:ascii="Arial" w:hAnsi="Arial"/>
          <w:noProof/>
          <w:color w:val="000000"/>
          <w:sz w:val="24"/>
        </w:rPr>
        <w:pict>
          <v:shape id="_x0000_s1041" type="#_x0000_t202" style="position:absolute;left:0;text-align:left;margin-left:259.65pt;margin-top:132.8pt;width:2in;height:28.8pt;z-index:251653632" o:allowincell="f" stroked="f">
            <v:textbox>
              <w:txbxContent>
                <w:p w:rsidR="00000000" w:rsidRDefault="00614B1E">
                  <w:pPr>
                    <w:rPr>
                      <w:rFonts w:ascii="Arial" w:hAnsi="Arial"/>
                      <w:b/>
                      <w:color w:val="000000"/>
                      <w:sz w:val="24"/>
                      <w:lang w:val="es-EC"/>
                    </w:rPr>
                  </w:pPr>
                  <w:r>
                    <w:rPr>
                      <w:rFonts w:ascii="Arial" w:hAnsi="Arial"/>
                      <w:b/>
                      <w:color w:val="000000"/>
                      <w:sz w:val="24"/>
                      <w:lang w:val="es-EC"/>
                    </w:rPr>
                    <w:t>Fig. 6  Pesca con red</w:t>
                  </w:r>
                </w:p>
              </w:txbxContent>
            </v:textbox>
            <w10:wrap type="topAndBottom"/>
          </v:shape>
        </w:pict>
      </w:r>
      <w:r>
        <w:rPr>
          <w:rFonts w:ascii="Arial" w:hAnsi="Arial"/>
          <w:noProof/>
          <w:color w:val="000000"/>
          <w:sz w:val="24"/>
        </w:rPr>
        <w:pict>
          <v:shape id="_x0000_s1040" type="#_x0000_t202" style="position:absolute;left:0;text-align:left;margin-left:43.65pt;margin-top:132.8pt;width:136.8pt;height:28.8pt;z-index:251652608" o:allowincell="f" stroked="f">
            <v:textbox>
              <w:txbxContent>
                <w:p w:rsidR="00000000" w:rsidRDefault="00614B1E">
                  <w:pPr>
                    <w:rPr>
                      <w:rFonts w:ascii="Arial" w:hAnsi="Arial"/>
                      <w:b/>
                      <w:color w:val="000000"/>
                      <w:sz w:val="24"/>
                      <w:lang w:val="es-EC"/>
                    </w:rPr>
                  </w:pPr>
                  <w:r>
                    <w:rPr>
                      <w:rFonts w:ascii="Arial" w:hAnsi="Arial"/>
                      <w:b/>
                      <w:color w:val="000000"/>
                      <w:sz w:val="24"/>
                      <w:lang w:val="es-EC"/>
                    </w:rPr>
                    <w:t>Fig. 5 Barco Atunero</w:t>
                  </w:r>
                </w:p>
              </w:txbxContent>
            </v:textbox>
            <w10:wrap type="topAndBottom"/>
          </v:shape>
        </w:pict>
      </w:r>
    </w:p>
    <w:p w:rsidR="00000000" w:rsidRDefault="00614B1E">
      <w:pPr>
        <w:spacing w:line="480" w:lineRule="auto"/>
        <w:ind w:left="993"/>
        <w:jc w:val="both"/>
        <w:rPr>
          <w:rFonts w:ascii="Arial" w:hAnsi="Arial"/>
          <w:color w:val="000000"/>
          <w:sz w:val="24"/>
          <w:lang w:val="es-ES"/>
        </w:rPr>
      </w:pPr>
    </w:p>
    <w:p w:rsidR="00000000" w:rsidRDefault="00614B1E">
      <w:pPr>
        <w:spacing w:line="480" w:lineRule="auto"/>
        <w:ind w:left="567"/>
        <w:jc w:val="both"/>
        <w:rPr>
          <w:rFonts w:ascii="Arial" w:hAnsi="Arial"/>
          <w:color w:val="000000"/>
          <w:sz w:val="24"/>
          <w:lang w:val="es-ES"/>
        </w:rPr>
      </w:pPr>
      <w:r>
        <w:rPr>
          <w:rFonts w:ascii="Arial" w:hAnsi="Arial"/>
          <w:color w:val="000000"/>
          <w:sz w:val="24"/>
          <w:lang w:val="es-ES"/>
        </w:rPr>
        <w:t xml:space="preserve">Otros métodos son el de caña o vara y el de palangre.  El método de palangre consiste </w:t>
      </w:r>
      <w:r>
        <w:rPr>
          <w:rFonts w:ascii="Arial" w:hAnsi="Arial"/>
          <w:color w:val="000000"/>
          <w:sz w:val="24"/>
          <w:lang w:val="es-ES"/>
        </w:rPr>
        <w:t xml:space="preserve"> en un cable principal donde cuelga una serie de anzuelos con los cuales se capturan los peces. La caña (igual que una caña de pescar) se utiliza en superficie y se capturan organismos </w:t>
      </w:r>
      <w:r>
        <w:rPr>
          <w:rFonts w:ascii="Arial" w:hAnsi="Arial"/>
          <w:color w:val="000000"/>
          <w:sz w:val="24"/>
          <w:lang w:val="es-ES"/>
        </w:rPr>
        <w:lastRenderedPageBreak/>
        <w:t>utilizando carnada viva.  Estos 2 métodos, por maltratar menos a los pe</w:t>
      </w:r>
      <w:r>
        <w:rPr>
          <w:rFonts w:ascii="Arial" w:hAnsi="Arial"/>
          <w:color w:val="000000"/>
          <w:sz w:val="24"/>
          <w:lang w:val="es-ES"/>
        </w:rPr>
        <w:t>ces, son más utilizados para los productos que van a mercados más exigentes.</w:t>
      </w:r>
    </w:p>
    <w:p w:rsidR="00000000" w:rsidRPr="00CE65AE" w:rsidRDefault="00614B1E">
      <w:pPr>
        <w:rPr>
          <w:rFonts w:ascii="Arial" w:hAnsi="Arial"/>
          <w:noProof/>
          <w:color w:val="000000"/>
          <w:sz w:val="24"/>
          <w:lang w:val="es-ES"/>
        </w:rPr>
      </w:pPr>
      <w:r>
        <w:rPr>
          <w:rFonts w:ascii="Arial" w:hAnsi="Arial"/>
          <w:noProof/>
          <w:color w:val="000000"/>
          <w:sz w:val="24"/>
        </w:rPr>
        <w:pict>
          <v:group id="_x0000_s1042" style="position:absolute;margin-left:124.65pt;margin-top:15.6pt;width:172.8pt;height:158.4pt;z-index:251654656" coordorigin="5472,6540" coordsize="3456,3168" o:allowincell="f">
            <v:shape id="_x0000_s1043" type="#_x0000_t75" style="position:absolute;left:5472;top:6540;width:3315;height:2505">
              <v:imagedata r:id="rId28" o:title=""/>
            </v:shape>
            <v:shape id="_x0000_s1044" type="#_x0000_t202" style="position:absolute;left:5472;top:9216;width:3456;height:492" stroked="f">
              <v:textbox style="mso-next-textbox:#_x0000_s1044">
                <w:txbxContent>
                  <w:p w:rsidR="00000000" w:rsidRDefault="00614B1E">
                    <w:pPr>
                      <w:rPr>
                        <w:rFonts w:ascii="Arial" w:hAnsi="Arial"/>
                        <w:b/>
                        <w:color w:val="000000"/>
                        <w:sz w:val="24"/>
                        <w:lang w:val="es-EC"/>
                      </w:rPr>
                    </w:pPr>
                    <w:r>
                      <w:rPr>
                        <w:rFonts w:ascii="Arial" w:hAnsi="Arial"/>
                        <w:b/>
                        <w:color w:val="000000"/>
                        <w:sz w:val="24"/>
                        <w:lang w:val="es-EC"/>
                      </w:rPr>
                      <w:t>Fig. 7  Pesca con pa</w:t>
                    </w:r>
                    <w:r>
                      <w:rPr>
                        <w:rFonts w:ascii="Arial" w:hAnsi="Arial"/>
                        <w:b/>
                        <w:color w:val="000000"/>
                        <w:sz w:val="24"/>
                        <w:lang w:val="es-EC"/>
                      </w:rPr>
                      <w:t>langre</w:t>
                    </w:r>
                  </w:p>
                </w:txbxContent>
              </v:textbox>
            </v:shape>
            <w10:wrap type="topAndBottom"/>
          </v:group>
          <o:OLEObject Type="Embed" ProgID="MSPhotoEd.3" ShapeID="_x0000_s1043" DrawAspect="Content" ObjectID="_1307353631" r:id="rId29"/>
        </w:pict>
      </w:r>
    </w:p>
    <w:p w:rsidR="00000000" w:rsidRPr="00CE65AE" w:rsidRDefault="00614B1E">
      <w:pPr>
        <w:ind w:left="426"/>
        <w:rPr>
          <w:rFonts w:ascii="Arial" w:hAnsi="Arial"/>
          <w:noProof/>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Luego de la captura, el pescado se vuelca directamente en tolvas, desde las cuales discurre por canales hasta los depósitos o pozas donde mediante inmersión en salmuera se mant</w:t>
      </w:r>
      <w:r>
        <w:rPr>
          <w:rFonts w:ascii="Arial" w:hAnsi="Arial"/>
          <w:color w:val="000000"/>
          <w:sz w:val="24"/>
          <w:lang w:val="es-ES"/>
        </w:rPr>
        <w:t>iene una temperatura de -14ºC.</w:t>
      </w:r>
    </w:p>
    <w:p w:rsidR="00000000" w:rsidRDefault="00614B1E">
      <w:pPr>
        <w:jc w:val="both"/>
        <w:rPr>
          <w:rFonts w:ascii="Arial" w:hAnsi="Arial"/>
          <w:color w:val="000000"/>
          <w:sz w:val="24"/>
          <w:lang w:val="es-ES"/>
        </w:rPr>
      </w:pP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t>Análisis de la materia prima</w:t>
      </w: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 xml:space="preserve">Al arribo del barco, por cada poza se toma una muestra que se somete a dos tipos de examen: físico y químico.  Las pozas, dependiendo del tamaño promedio tienen una capacidad aproximada de 50 </w:t>
      </w:r>
      <w:r>
        <w:rPr>
          <w:rFonts w:ascii="Arial" w:hAnsi="Arial"/>
          <w:color w:val="000000"/>
          <w:sz w:val="24"/>
          <w:lang w:val="es-ES"/>
        </w:rPr>
        <w:t xml:space="preserve">toneladas.  </w:t>
      </w:r>
    </w:p>
    <w:p w:rsidR="00000000" w:rsidRDefault="00614B1E">
      <w:pPr>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 xml:space="preserve">En el análisis físico se inspecciona los especímenes para descartar cualquier anomalía visualmente apreciable como enfermedades u objetos extraños como ganchos o trozos de madera.  También se hace una </w:t>
      </w:r>
      <w:r>
        <w:rPr>
          <w:rFonts w:ascii="Arial" w:hAnsi="Arial"/>
          <w:color w:val="000000"/>
          <w:sz w:val="24"/>
          <w:lang w:val="es-ES"/>
        </w:rPr>
        <w:lastRenderedPageBreak/>
        <w:t>inspección organoléptica que permite dete</w:t>
      </w:r>
      <w:r>
        <w:rPr>
          <w:rFonts w:ascii="Arial" w:hAnsi="Arial"/>
          <w:color w:val="000000"/>
          <w:sz w:val="24"/>
          <w:lang w:val="es-ES"/>
        </w:rPr>
        <w:t>ctar olores extraños que comúnmente pueden ser combustibles como consecuencia de un inadecuado mantenimiento de las instalaciones del barco.</w:t>
      </w:r>
    </w:p>
    <w:p w:rsidR="00000000" w:rsidRPr="00CE65AE" w:rsidRDefault="00614B1E">
      <w:pPr>
        <w:ind w:left="426"/>
        <w:jc w:val="both"/>
        <w:rPr>
          <w:noProof/>
          <w:lang w:val="es-ES"/>
        </w:rPr>
      </w:pPr>
    </w:p>
    <w:p w:rsidR="00000000" w:rsidRPr="00CE65AE" w:rsidRDefault="00614B1E">
      <w:pPr>
        <w:ind w:left="426"/>
        <w:jc w:val="both"/>
        <w:rPr>
          <w:noProof/>
          <w:lang w:val="es-ES"/>
        </w:rPr>
      </w:pPr>
      <w:r>
        <w:rPr>
          <w:noProof/>
        </w:rPr>
        <w:pict>
          <v:group id="_x0000_s1048" style="position:absolute;left:0;text-align:left;margin-left:211.05pt;margin-top:4.95pt;width:230.4pt;height:172.8pt;z-index:251656704;mso-position-horizontal-relative:page" coordorigin="4032,9648" coordsize="4608,3456" o:allowincell="f">
            <v:shape id="_x0000_s1049" type="#_x0000_t75" style="position:absolute;left:4032;top:9648;width:4470;height:2985">
              <v:imagedata r:id="rId30" o:title=""/>
            </v:shape>
            <v:shape id="_x0000_s1050" type="#_x0000_t202" style="position:absolute;left:4320;top:12672;width:4320;height:432" stroked="f">
              <v:textbox>
                <w:txbxContent>
                  <w:p w:rsidR="00000000" w:rsidRDefault="00614B1E">
                    <w:pPr>
                      <w:rPr>
                        <w:rFonts w:ascii="Arial" w:hAnsi="Arial"/>
                        <w:b/>
                        <w:color w:val="000000"/>
                        <w:sz w:val="24"/>
                        <w:lang w:val="es-EC"/>
                      </w:rPr>
                    </w:pPr>
                    <w:r>
                      <w:rPr>
                        <w:rFonts w:ascii="Arial" w:hAnsi="Arial"/>
                        <w:b/>
                        <w:color w:val="000000"/>
                        <w:sz w:val="24"/>
                        <w:lang w:val="es-EC"/>
                      </w:rPr>
                      <w:t>Fig. 8  Análisis de materia prima</w:t>
                    </w:r>
                  </w:p>
                </w:txbxContent>
              </v:textbox>
            </v:shape>
            <w10:wrap anchorx="page"/>
          </v:group>
          <o:OLEObject Type="Embed" ProgID="MSPhotoEd.3" ShapeID="_x0000_s1049" DrawAspect="Content" ObjectID="_1307353632" r:id="rId31"/>
        </w:pict>
      </w: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Pr="00CE65AE" w:rsidRDefault="00614B1E">
      <w:pPr>
        <w:ind w:left="426"/>
        <w:jc w:val="both"/>
        <w:rPr>
          <w:noProof/>
          <w:lang w:val="es-ES"/>
        </w:rPr>
      </w:pPr>
    </w:p>
    <w:p w:rsidR="00000000" w:rsidRDefault="00614B1E">
      <w:pPr>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 xml:space="preserve">A continuación se realiza un examen químico en el cual se verifican los niveles de sal, histamina </w:t>
      </w:r>
      <w:r>
        <w:rPr>
          <w:rFonts w:ascii="Arial" w:hAnsi="Arial"/>
          <w:color w:val="000000"/>
          <w:sz w:val="24"/>
          <w:lang w:val="es-ES"/>
        </w:rPr>
        <w:t xml:space="preserve">y metales pesados que pudieran inhabilitar al pescado para su posterior procesamiento. </w:t>
      </w:r>
    </w:p>
    <w:p w:rsidR="00000000" w:rsidRDefault="00614B1E">
      <w:pPr>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Estos exámenes se los realiza por cada poza y por cada variedad de atún: Aleta amarilla, Skipjack o Big Eye.</w:t>
      </w: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i/>
          <w:color w:val="000000"/>
          <w:sz w:val="24"/>
          <w:u w:val="single"/>
          <w:lang w:val="es-ES"/>
        </w:rPr>
      </w:pP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t>Descarga y Clasificación</w:t>
      </w:r>
    </w:p>
    <w:p w:rsidR="00000000" w:rsidRDefault="00614B1E">
      <w:pPr>
        <w:ind w:left="426"/>
        <w:jc w:val="both"/>
        <w:rPr>
          <w:rFonts w:ascii="Arial" w:hAnsi="Arial"/>
          <w:b/>
          <w:color w:val="000000"/>
          <w:sz w:val="24"/>
          <w:lang w:val="es-ES"/>
        </w:rPr>
      </w:pPr>
    </w:p>
    <w:p w:rsidR="00000000" w:rsidRDefault="00614B1E">
      <w:pPr>
        <w:ind w:left="426"/>
        <w:jc w:val="both"/>
        <w:rPr>
          <w:rFonts w:ascii="Arial" w:hAnsi="Arial"/>
          <w:b/>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Luego de que se aprueba la id</w:t>
      </w:r>
      <w:r>
        <w:rPr>
          <w:rFonts w:ascii="Arial" w:hAnsi="Arial"/>
          <w:color w:val="000000"/>
          <w:sz w:val="24"/>
          <w:lang w:val="es-ES"/>
        </w:rPr>
        <w:t xml:space="preserve">oneidad del pescado en cada poza, se procede a descargarlo mediante sistemas de transportación mecánicos con los que cuenta el barco.  El atún que llega a tierra es clasificado por </w:t>
      </w:r>
      <w:r>
        <w:rPr>
          <w:rFonts w:ascii="Arial" w:hAnsi="Arial"/>
          <w:color w:val="000000"/>
          <w:sz w:val="24"/>
          <w:lang w:val="es-ES"/>
        </w:rPr>
        <w:lastRenderedPageBreak/>
        <w:t>tamaño y variedad por personas con experiencia mediante y colocado en tanqu</w:t>
      </w:r>
      <w:r>
        <w:rPr>
          <w:rFonts w:ascii="Arial" w:hAnsi="Arial"/>
          <w:color w:val="000000"/>
          <w:sz w:val="24"/>
          <w:lang w:val="es-ES"/>
        </w:rPr>
        <w:t>es con su respectiva identificación.</w:t>
      </w:r>
    </w:p>
    <w:p w:rsidR="00000000" w:rsidRPr="00CE65AE" w:rsidRDefault="00614B1E">
      <w:pPr>
        <w:ind w:left="1134"/>
        <w:jc w:val="both"/>
        <w:rPr>
          <w:rFonts w:ascii="Arial" w:hAnsi="Arial"/>
          <w:b/>
          <w:noProof/>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b/>
          <w:noProof/>
          <w:color w:val="000000"/>
          <w:sz w:val="24"/>
        </w:rPr>
        <w:pict>
          <v:group id="_x0000_s1051" style="position:absolute;left:0;text-align:left;margin-left:25.65pt;margin-top:67.45pt;width:374.4pt;height:187.2pt;z-index:251657728" coordorigin="3312,2448" coordsize="7488,3744" o:allowincell="f">
            <v:shape id="_x0000_s1052" type="#_x0000_t75" style="position:absolute;left:3312;top:2448;width:4267;height:2922">
              <v:imagedata r:id="rId32" o:title=""/>
            </v:shape>
            <v:shape id="_x0000_s1053" type="#_x0000_t75" style="position:absolute;left:8054;top:2448;width:2746;height:2944">
              <v:imagedata r:id="rId33" o:title=""/>
            </v:shape>
            <v:shape id="_x0000_s1054" type="#_x0000_t202" style="position:absolute;left:5760;top:5760;width:3312;height:432" stroked="f">
              <v:textbox>
                <w:txbxContent>
                  <w:p w:rsidR="00000000" w:rsidRDefault="00614B1E">
                    <w:pPr>
                      <w:rPr>
                        <w:rFonts w:ascii="Arial" w:hAnsi="Arial"/>
                        <w:b/>
                        <w:color w:val="000000"/>
                        <w:sz w:val="24"/>
                        <w:lang w:val="es-EC"/>
                      </w:rPr>
                    </w:pPr>
                    <w:r>
                      <w:rPr>
                        <w:rFonts w:ascii="Arial" w:hAnsi="Arial"/>
                        <w:b/>
                        <w:color w:val="000000"/>
                        <w:sz w:val="24"/>
                        <w:lang w:val="es-EC"/>
                      </w:rPr>
                      <w:t xml:space="preserve">Fig. 9  Descarga del atún </w:t>
                    </w:r>
                  </w:p>
                </w:txbxContent>
              </v:textbox>
            </v:shape>
            <w10:wrap type="topAndBottom"/>
          </v:group>
          <o:OLEObject Type="Embed" ProgID="MSPhotoEd.3" ShapeID="_x0000_s1052" DrawAspect="Content" ObjectID="_1307353633" r:id="rId34"/>
          <o:OLEObject Type="Embed" ProgID="MSPhotoEd.3" ShapeID="_x0000_s1053" DrawAspect="Content" ObjectID="_1307353634" r:id="rId35"/>
        </w:pict>
      </w:r>
      <w:r>
        <w:rPr>
          <w:rFonts w:ascii="Arial" w:hAnsi="Arial"/>
          <w:color w:val="000000"/>
          <w:sz w:val="24"/>
          <w:lang w:val="es-ES"/>
        </w:rPr>
        <w:t>Por cada poza y por cada variedad, aleta amarilla, big eye y barrilete, el pescado es clasificado según su peso. (Ver Apendice B2)</w:t>
      </w:r>
    </w:p>
    <w:p w:rsidR="00000000" w:rsidRDefault="00614B1E">
      <w:pPr>
        <w:ind w:left="426"/>
        <w:jc w:val="both"/>
        <w:rPr>
          <w:rFonts w:ascii="Arial" w:hAnsi="Arial"/>
          <w:i/>
          <w:color w:val="000000"/>
          <w:sz w:val="24"/>
          <w:u w:val="single"/>
          <w:lang w:val="es-ES"/>
        </w:rPr>
      </w:pP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t>Almacenamiento</w:t>
      </w:r>
    </w:p>
    <w:p w:rsidR="00000000" w:rsidRDefault="00614B1E">
      <w:pPr>
        <w:ind w:left="426"/>
        <w:jc w:val="both"/>
        <w:rPr>
          <w:rFonts w:ascii="Arial" w:hAnsi="Arial"/>
          <w:b/>
          <w:color w:val="000000"/>
          <w:sz w:val="24"/>
          <w:lang w:val="es-ES"/>
        </w:rPr>
      </w:pPr>
    </w:p>
    <w:p w:rsidR="00000000" w:rsidRDefault="00614B1E">
      <w:pPr>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Los tanques son llevados desde el muelle hasta la planta donde se al</w:t>
      </w:r>
      <w:r>
        <w:rPr>
          <w:rFonts w:ascii="Arial" w:hAnsi="Arial"/>
          <w:color w:val="000000"/>
          <w:sz w:val="24"/>
          <w:lang w:val="es-ES"/>
        </w:rPr>
        <w:t>macenan en bodegas o cuartos de frío donde el pescado se mantiene entre temperaturas de -12 y -17ºC.</w:t>
      </w:r>
    </w:p>
    <w:p w:rsidR="00000000" w:rsidRDefault="00614B1E">
      <w:pPr>
        <w:ind w:left="426"/>
        <w:jc w:val="both"/>
        <w:rPr>
          <w:rFonts w:ascii="Arial" w:hAnsi="Arial"/>
          <w:b/>
          <w:color w:val="000000"/>
          <w:sz w:val="24"/>
          <w:lang w:val="es-ES"/>
        </w:rPr>
      </w:pPr>
    </w:p>
    <w:p w:rsidR="00000000" w:rsidRDefault="00614B1E">
      <w:pPr>
        <w:ind w:left="426"/>
        <w:jc w:val="both"/>
        <w:rPr>
          <w:rFonts w:ascii="Arial" w:hAnsi="Arial"/>
          <w:b/>
          <w:color w:val="000000"/>
          <w:sz w:val="24"/>
          <w:lang w:val="es-ES"/>
        </w:rPr>
      </w:pP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t>Descongelamiento</w:t>
      </w: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Previo a ser cocinado el pescado previamente clasificado se deja descongelar añadiendo agua clorada a los tanques manteniendo una temp</w:t>
      </w:r>
      <w:r>
        <w:rPr>
          <w:rFonts w:ascii="Arial" w:hAnsi="Arial"/>
          <w:color w:val="000000"/>
          <w:sz w:val="24"/>
          <w:lang w:val="es-ES"/>
        </w:rPr>
        <w:t xml:space="preserve">eratura entre -3 y 0ºC . Es importante trabajar cada categoría y </w:t>
      </w:r>
      <w:r>
        <w:rPr>
          <w:rFonts w:ascii="Arial" w:hAnsi="Arial"/>
          <w:color w:val="000000"/>
          <w:sz w:val="24"/>
          <w:lang w:val="es-ES"/>
        </w:rPr>
        <w:lastRenderedPageBreak/>
        <w:t>tamaños de pescado por separado para lograr uniformidad en su proceso.</w:t>
      </w: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b/>
          <w:color w:val="000000"/>
          <w:sz w:val="24"/>
          <w:lang w:val="es-ES"/>
        </w:rPr>
      </w:pP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t>Protocolo</w:t>
      </w: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color w:val="000000"/>
          <w:sz w:val="24"/>
          <w:lang w:val="es-ES"/>
        </w:rPr>
      </w:pPr>
    </w:p>
    <w:p w:rsidR="00000000" w:rsidRDefault="00614B1E">
      <w:pPr>
        <w:spacing w:line="480" w:lineRule="auto"/>
        <w:ind w:left="426"/>
        <w:jc w:val="both"/>
        <w:rPr>
          <w:rFonts w:ascii="Arial" w:hAnsi="Arial"/>
          <w:b/>
          <w:color w:val="000000"/>
          <w:sz w:val="24"/>
          <w:lang w:val="es-ES"/>
        </w:rPr>
      </w:pPr>
      <w:r>
        <w:rPr>
          <w:rFonts w:ascii="Arial" w:hAnsi="Arial"/>
          <w:color w:val="000000"/>
          <w:sz w:val="24"/>
          <w:lang w:val="es-ES"/>
        </w:rPr>
        <w:t>Se toma una muestra representativa de la variedad deseada por cada tanque la cual tiene un tamaño de 1 a 3</w:t>
      </w:r>
      <w:r>
        <w:rPr>
          <w:rFonts w:ascii="Arial" w:hAnsi="Arial"/>
          <w:color w:val="000000"/>
          <w:sz w:val="24"/>
          <w:lang w:val="es-ES"/>
        </w:rPr>
        <w:t xml:space="preserve"> toneladas y se la somete a cocinado.  Luego de terminarse el cocinado de esta muestra, se realiza una prueba de humedad versus consistencia la cual determinará la aptitud del pescado para ser utilizado en un proceso determinado o para ser destinado a un m</w:t>
      </w:r>
      <w:r>
        <w:rPr>
          <w:rFonts w:ascii="Arial" w:hAnsi="Arial"/>
          <w:color w:val="000000"/>
          <w:sz w:val="24"/>
          <w:lang w:val="es-ES"/>
        </w:rPr>
        <w:t>ercado específico.</w:t>
      </w:r>
    </w:p>
    <w:p w:rsidR="00000000" w:rsidRDefault="00614B1E">
      <w:pPr>
        <w:ind w:left="426"/>
        <w:jc w:val="both"/>
        <w:rPr>
          <w:rFonts w:ascii="Arial" w:hAnsi="Arial"/>
          <w:b/>
          <w:color w:val="000000"/>
          <w:sz w:val="24"/>
          <w:lang w:val="es-ES"/>
        </w:rPr>
      </w:pP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t>Desbuche</w:t>
      </w:r>
    </w:p>
    <w:p w:rsidR="00000000" w:rsidRDefault="00614B1E">
      <w:pPr>
        <w:ind w:left="426"/>
        <w:jc w:val="both"/>
        <w:rPr>
          <w:rFonts w:ascii="Arial" w:hAnsi="Arial"/>
          <w:i/>
          <w:color w:val="000000"/>
          <w:sz w:val="24"/>
          <w:u w:val="single"/>
          <w:lang w:val="es-ES"/>
        </w:rPr>
      </w:pPr>
    </w:p>
    <w:p w:rsidR="00000000" w:rsidRDefault="00614B1E">
      <w:pPr>
        <w:ind w:left="426"/>
        <w:jc w:val="both"/>
        <w:rPr>
          <w:rFonts w:ascii="Arial" w:hAnsi="Arial"/>
          <w:b/>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En el caso de ejemplares que excedan las 20 libras, el personal del área procede a cortar cabeza, cola, a retirar las vísceras y a reducirlos a pedazos más pequeños mediante la ayuda de sierras eléctricas destinadas a este fi</w:t>
      </w:r>
      <w:r>
        <w:rPr>
          <w:rFonts w:ascii="Arial" w:hAnsi="Arial"/>
          <w:color w:val="000000"/>
          <w:sz w:val="24"/>
          <w:lang w:val="es-ES"/>
        </w:rPr>
        <w:t xml:space="preserve">n. </w:t>
      </w:r>
    </w:p>
    <w:p w:rsidR="00000000" w:rsidRDefault="00614B1E">
      <w:pPr>
        <w:ind w:left="426"/>
        <w:jc w:val="both"/>
        <w:rPr>
          <w:rFonts w:ascii="Arial" w:hAnsi="Arial"/>
          <w:b/>
          <w:color w:val="000000"/>
          <w:sz w:val="24"/>
          <w:lang w:val="es-ES"/>
        </w:rPr>
      </w:pPr>
    </w:p>
    <w:p w:rsidR="00000000" w:rsidRDefault="00614B1E">
      <w:pPr>
        <w:jc w:val="both"/>
        <w:rPr>
          <w:rFonts w:ascii="Arial" w:hAnsi="Arial"/>
          <w:b/>
          <w:color w:val="000000"/>
          <w:sz w:val="24"/>
          <w:lang w:val="es-ES"/>
        </w:rPr>
      </w:pPr>
    </w:p>
    <w:p w:rsidR="00000000" w:rsidRDefault="00614B1E">
      <w:pPr>
        <w:ind w:left="426"/>
        <w:jc w:val="both"/>
        <w:rPr>
          <w:rFonts w:ascii="Arial" w:hAnsi="Arial"/>
          <w:i/>
          <w:color w:val="000000"/>
          <w:sz w:val="24"/>
          <w:u w:val="single"/>
          <w:lang w:val="es-ES"/>
        </w:rPr>
      </w:pPr>
      <w:r>
        <w:rPr>
          <w:rFonts w:ascii="Arial" w:hAnsi="Arial"/>
          <w:i/>
          <w:color w:val="000000"/>
          <w:sz w:val="24"/>
          <w:u w:val="single"/>
          <w:lang w:val="es-ES"/>
        </w:rPr>
        <w:t>Llenado de coches</w:t>
      </w:r>
    </w:p>
    <w:p w:rsidR="00000000" w:rsidRDefault="00614B1E">
      <w:pPr>
        <w:ind w:left="426"/>
        <w:jc w:val="both"/>
        <w:rPr>
          <w:rFonts w:ascii="Arial" w:hAnsi="Arial"/>
          <w:color w:val="000000"/>
          <w:sz w:val="24"/>
          <w:lang w:val="es-ES"/>
        </w:rPr>
      </w:pPr>
    </w:p>
    <w:p w:rsidR="00000000" w:rsidRDefault="00614B1E">
      <w:pPr>
        <w:ind w:left="426"/>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Coches con bandejas de acero galvanizado  son llenados manualmente con  pescado descongelado del lote del cual previamente se tomó la muestra para el protocolo.</w:t>
      </w:r>
    </w:p>
    <w:p w:rsidR="00000000" w:rsidRPr="00CE65AE" w:rsidRDefault="00614B1E">
      <w:pPr>
        <w:ind w:left="426"/>
        <w:jc w:val="both"/>
        <w:rPr>
          <w:rFonts w:ascii="Arial" w:hAnsi="Arial"/>
          <w:noProof/>
          <w:color w:val="000000"/>
          <w:sz w:val="24"/>
          <w:lang w:val="es-ES"/>
        </w:rPr>
      </w:pPr>
    </w:p>
    <w:p w:rsidR="00000000" w:rsidRDefault="00614B1E">
      <w:pPr>
        <w:jc w:val="both"/>
        <w:rPr>
          <w:rFonts w:ascii="Arial" w:hAnsi="Arial"/>
          <w:color w:val="000000"/>
          <w:sz w:val="24"/>
          <w:lang w:val="es-ES"/>
        </w:rPr>
      </w:pPr>
      <w:r>
        <w:rPr>
          <w:rFonts w:ascii="Arial" w:hAnsi="Arial"/>
          <w:noProof/>
          <w:color w:val="000000"/>
          <w:sz w:val="24"/>
        </w:rPr>
        <w:pict>
          <v:group id="_x0000_s1045" style="position:absolute;left:0;text-align:left;margin-left:79.65pt;margin-top:16.4pt;width:230.75pt;height:204.6pt;z-index:251655680" coordorigin="5040,4032" coordsize="4615,4092" o:allowincell="f">
            <v:shape id="_x0000_s1046" type="#_x0000_t75" style="position:absolute;left:5040;top:4032;width:4615;height:3461">
              <v:imagedata r:id="rId36" o:title=""/>
            </v:shape>
            <v:shape id="_x0000_s1047" type="#_x0000_t202" style="position:absolute;left:6048;top:7692;width:3168;height:432" stroked="f">
              <v:textbox>
                <w:txbxContent>
                  <w:p w:rsidR="00000000" w:rsidRDefault="00614B1E">
                    <w:pPr>
                      <w:rPr>
                        <w:rFonts w:ascii="Arial" w:hAnsi="Arial"/>
                        <w:b/>
                        <w:color w:val="000000"/>
                        <w:sz w:val="24"/>
                        <w:lang w:val="es-EC"/>
                      </w:rPr>
                    </w:pPr>
                    <w:r>
                      <w:rPr>
                        <w:rFonts w:ascii="Arial" w:hAnsi="Arial"/>
                        <w:b/>
                        <w:color w:val="000000"/>
                        <w:sz w:val="24"/>
                        <w:lang w:val="es-EC"/>
                      </w:rPr>
                      <w:t xml:space="preserve">Fig. 10  Atún en coches </w:t>
                    </w:r>
                  </w:p>
                </w:txbxContent>
              </v:textbox>
            </v:shape>
            <w10:wrap type="topAndBottom"/>
          </v:group>
          <o:OLEObject Type="Embed" ProgID="MSPhotoEd.3" ShapeID="_x0000_s1046" DrawAspect="Content" ObjectID="_1307353635" r:id="rId37"/>
        </w:pict>
      </w:r>
    </w:p>
    <w:p w:rsidR="00000000" w:rsidRDefault="00614B1E">
      <w:pPr>
        <w:spacing w:line="480" w:lineRule="auto"/>
        <w:ind w:left="1134"/>
        <w:jc w:val="both"/>
        <w:rPr>
          <w:rFonts w:ascii="Arial" w:hAnsi="Arial"/>
          <w:color w:val="000000"/>
          <w:sz w:val="24"/>
          <w:lang w:val="es-ES"/>
        </w:rPr>
      </w:pPr>
    </w:p>
    <w:p w:rsidR="00000000" w:rsidRDefault="00614B1E">
      <w:pPr>
        <w:spacing w:line="480" w:lineRule="auto"/>
        <w:ind w:left="426"/>
        <w:jc w:val="both"/>
        <w:rPr>
          <w:rFonts w:ascii="Arial" w:hAnsi="Arial"/>
          <w:color w:val="000000"/>
          <w:sz w:val="24"/>
          <w:lang w:val="es-ES"/>
        </w:rPr>
      </w:pPr>
      <w:r>
        <w:rPr>
          <w:rFonts w:ascii="Arial" w:hAnsi="Arial"/>
          <w:color w:val="000000"/>
          <w:sz w:val="24"/>
          <w:lang w:val="es-ES"/>
        </w:rPr>
        <w:t>Una vez llenos, los carritos son llevados, ya sea mediante ruedas</w:t>
      </w:r>
      <w:r>
        <w:rPr>
          <w:rFonts w:ascii="Arial" w:hAnsi="Arial"/>
          <w:color w:val="000000"/>
          <w:sz w:val="24"/>
          <w:lang w:val="es-ES"/>
        </w:rPr>
        <w:t xml:space="preserve"> o montacargas al interior de los cocinadores. Es importante que la operación desde que termina el descongelamiento hasta el precocinado sea lo suficientemente ágil para que la temperatura del atún no se eleve en exceso.</w:t>
      </w:r>
    </w:p>
    <w:p w:rsidR="00614B1E" w:rsidRDefault="00614B1E">
      <w:pPr>
        <w:spacing w:line="480" w:lineRule="auto"/>
        <w:ind w:left="426"/>
        <w:jc w:val="both"/>
        <w:rPr>
          <w:rFonts w:ascii="Arial" w:hAnsi="Arial"/>
          <w:color w:val="000000"/>
          <w:sz w:val="24"/>
          <w:lang w:val="es-ES"/>
        </w:rPr>
      </w:pPr>
    </w:p>
    <w:sectPr w:rsidR="00614B1E">
      <w:headerReference w:type="even" r:id="rId38"/>
      <w:headerReference w:type="default" r:id="rId39"/>
      <w:pgSz w:w="11907" w:h="16840" w:code="9"/>
      <w:pgMar w:top="2268" w:right="1361" w:bottom="2268" w:left="2268" w:header="1134" w:footer="720" w:gutter="0"/>
      <w:pgNumType w:start="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B1E" w:rsidRDefault="00614B1E">
      <w:r>
        <w:separator/>
      </w:r>
    </w:p>
  </w:endnote>
  <w:endnote w:type="continuationSeparator" w:id="1">
    <w:p w:rsidR="00614B1E" w:rsidRDefault="00614B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B1E" w:rsidRDefault="00614B1E">
      <w:r>
        <w:separator/>
      </w:r>
    </w:p>
  </w:footnote>
  <w:footnote w:type="continuationSeparator" w:id="1">
    <w:p w:rsidR="00614B1E" w:rsidRDefault="00614B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4B1E">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end"/>
    </w:r>
  </w:p>
  <w:p w:rsidR="00000000" w:rsidRDefault="00614B1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4B1E">
    <w:pPr>
      <w:pStyle w:val="Encabezado"/>
      <w:framePr w:wrap="around" w:vAnchor="text" w:hAnchor="margin" w:xAlign="right" w:y="1"/>
      <w:rPr>
        <w:rStyle w:val="Nmerodepgina"/>
        <w:rFonts w:ascii="Arial" w:hAnsi="Arial"/>
        <w:sz w:val="24"/>
      </w:rPr>
    </w:pPr>
    <w:r>
      <w:rPr>
        <w:rStyle w:val="Nmerodepgina"/>
        <w:rFonts w:ascii="Arial" w:hAnsi="Arial"/>
        <w:sz w:val="24"/>
      </w:rPr>
      <w:fldChar w:fldCharType="begin"/>
    </w:r>
    <w:r>
      <w:rPr>
        <w:rStyle w:val="Nmerodepgina"/>
        <w:rFonts w:ascii="Arial" w:hAnsi="Arial"/>
        <w:sz w:val="24"/>
      </w:rPr>
      <w:instrText>PAGE</w:instrText>
    </w:r>
    <w:r>
      <w:rPr>
        <w:rStyle w:val="Nmerodepgina"/>
        <w:rFonts w:ascii="Arial" w:hAnsi="Arial"/>
        <w:sz w:val="24"/>
      </w:rPr>
      <w:instrText xml:space="preserve">  </w:instrText>
    </w:r>
    <w:r>
      <w:rPr>
        <w:rStyle w:val="Nmerodepgina"/>
        <w:rFonts w:ascii="Arial" w:hAnsi="Arial"/>
        <w:sz w:val="24"/>
      </w:rPr>
      <w:fldChar w:fldCharType="separate"/>
    </w:r>
    <w:r w:rsidR="00CE65AE">
      <w:rPr>
        <w:rStyle w:val="Nmerodepgina"/>
        <w:rFonts w:ascii="Arial" w:hAnsi="Arial"/>
        <w:noProof/>
        <w:sz w:val="24"/>
      </w:rPr>
      <w:t>4</w:t>
    </w:r>
    <w:r>
      <w:rPr>
        <w:rStyle w:val="Nmerodepgina"/>
        <w:rFonts w:ascii="Arial" w:hAnsi="Arial"/>
        <w:sz w:val="24"/>
      </w:rPr>
      <w:fldChar w:fldCharType="end"/>
    </w:r>
  </w:p>
  <w:p w:rsidR="00000000" w:rsidRDefault="00614B1E">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14A5B"/>
    <w:multiLevelType w:val="multilevel"/>
    <w:tmpl w:val="28C80A2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515"/>
        </w:tabs>
        <w:ind w:left="1515" w:hanging="465"/>
      </w:pPr>
      <w:rPr>
        <w:rFonts w:hint="default"/>
      </w:rPr>
    </w:lvl>
    <w:lvl w:ilvl="2">
      <w:start w:val="1"/>
      <w:numFmt w:val="decimal"/>
      <w:isLgl/>
      <w:lvlText w:val="%1.%2.%3"/>
      <w:lvlJc w:val="left"/>
      <w:pPr>
        <w:tabs>
          <w:tab w:val="num" w:pos="2820"/>
        </w:tabs>
        <w:ind w:left="2820" w:hanging="720"/>
      </w:pPr>
      <w:rPr>
        <w:rFonts w:hint="default"/>
      </w:rPr>
    </w:lvl>
    <w:lvl w:ilvl="3">
      <w:start w:val="1"/>
      <w:numFmt w:val="decimal"/>
      <w:isLgl/>
      <w:lvlText w:val="%1.%2.%3.%4"/>
      <w:lvlJc w:val="left"/>
      <w:pPr>
        <w:tabs>
          <w:tab w:val="num" w:pos="4230"/>
        </w:tabs>
        <w:ind w:left="4230" w:hanging="1080"/>
      </w:pPr>
      <w:rPr>
        <w:rFonts w:hint="default"/>
      </w:rPr>
    </w:lvl>
    <w:lvl w:ilvl="4">
      <w:start w:val="1"/>
      <w:numFmt w:val="decimal"/>
      <w:isLgl/>
      <w:lvlText w:val="%1.%2.%3.%4.%5"/>
      <w:lvlJc w:val="left"/>
      <w:pPr>
        <w:tabs>
          <w:tab w:val="num" w:pos="5280"/>
        </w:tabs>
        <w:ind w:left="5280" w:hanging="1080"/>
      </w:pPr>
      <w:rPr>
        <w:rFonts w:hint="default"/>
      </w:rPr>
    </w:lvl>
    <w:lvl w:ilvl="5">
      <w:start w:val="1"/>
      <w:numFmt w:val="decimal"/>
      <w:isLgl/>
      <w:lvlText w:val="%1.%2.%3.%4.%5.%6"/>
      <w:lvlJc w:val="left"/>
      <w:pPr>
        <w:tabs>
          <w:tab w:val="num" w:pos="6690"/>
        </w:tabs>
        <w:ind w:left="6690" w:hanging="1440"/>
      </w:pPr>
      <w:rPr>
        <w:rFonts w:hint="default"/>
      </w:rPr>
    </w:lvl>
    <w:lvl w:ilvl="6">
      <w:start w:val="1"/>
      <w:numFmt w:val="decimal"/>
      <w:isLgl/>
      <w:lvlText w:val="%1.%2.%3.%4.%5.%6.%7"/>
      <w:lvlJc w:val="left"/>
      <w:pPr>
        <w:tabs>
          <w:tab w:val="num" w:pos="7740"/>
        </w:tabs>
        <w:ind w:left="7740" w:hanging="1440"/>
      </w:pPr>
      <w:rPr>
        <w:rFonts w:hint="default"/>
      </w:rPr>
    </w:lvl>
    <w:lvl w:ilvl="7">
      <w:start w:val="1"/>
      <w:numFmt w:val="decimal"/>
      <w:isLgl/>
      <w:lvlText w:val="%1.%2.%3.%4.%5.%6.%7.%8"/>
      <w:lvlJc w:val="left"/>
      <w:pPr>
        <w:tabs>
          <w:tab w:val="num" w:pos="9150"/>
        </w:tabs>
        <w:ind w:left="9150" w:hanging="1800"/>
      </w:pPr>
      <w:rPr>
        <w:rFonts w:hint="default"/>
      </w:rPr>
    </w:lvl>
    <w:lvl w:ilvl="8">
      <w:start w:val="1"/>
      <w:numFmt w:val="decimal"/>
      <w:isLgl/>
      <w:lvlText w:val="%1.%2.%3.%4.%5.%6.%7.%8.%9"/>
      <w:lvlJc w:val="left"/>
      <w:pPr>
        <w:tabs>
          <w:tab w:val="num" w:pos="10200"/>
        </w:tabs>
        <w:ind w:left="10200" w:hanging="1800"/>
      </w:pPr>
      <w:rPr>
        <w:rFonts w:hint="default"/>
      </w:rPr>
    </w:lvl>
  </w:abstractNum>
  <w:abstractNum w:abstractNumId="1">
    <w:nsid w:val="147E5CDC"/>
    <w:multiLevelType w:val="singleLevel"/>
    <w:tmpl w:val="0C0A000F"/>
    <w:lvl w:ilvl="0">
      <w:start w:val="1"/>
      <w:numFmt w:val="decimal"/>
      <w:lvlText w:val="%1."/>
      <w:lvlJc w:val="left"/>
      <w:pPr>
        <w:tabs>
          <w:tab w:val="num" w:pos="360"/>
        </w:tabs>
        <w:ind w:left="360" w:hanging="360"/>
      </w:pPr>
      <w:rPr>
        <w:rFonts w:hint="default"/>
      </w:rPr>
    </w:lvl>
  </w:abstractNum>
  <w:abstractNum w:abstractNumId="2">
    <w:nsid w:val="19A21913"/>
    <w:multiLevelType w:val="multilevel"/>
    <w:tmpl w:val="3B603B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nsid w:val="1DBC6FF5"/>
    <w:multiLevelType w:val="multilevel"/>
    <w:tmpl w:val="9A94AF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1DFA48F7"/>
    <w:multiLevelType w:val="multilevel"/>
    <w:tmpl w:val="B2CA9D10"/>
    <w:lvl w:ilvl="0">
      <w:start w:val="1"/>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23A112EC"/>
    <w:multiLevelType w:val="multilevel"/>
    <w:tmpl w:val="5742F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nsid w:val="28712F6C"/>
    <w:multiLevelType w:val="multilevel"/>
    <w:tmpl w:val="DFD450E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nsid w:val="28AD29DF"/>
    <w:multiLevelType w:val="multilevel"/>
    <w:tmpl w:val="2C424FE2"/>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2BE40D0F"/>
    <w:multiLevelType w:val="singleLevel"/>
    <w:tmpl w:val="0C0A000F"/>
    <w:lvl w:ilvl="0">
      <w:start w:val="1"/>
      <w:numFmt w:val="decimal"/>
      <w:lvlText w:val="%1."/>
      <w:lvlJc w:val="left"/>
      <w:pPr>
        <w:tabs>
          <w:tab w:val="num" w:pos="360"/>
        </w:tabs>
        <w:ind w:left="360" w:hanging="360"/>
      </w:pPr>
      <w:rPr>
        <w:rFonts w:hint="default"/>
      </w:rPr>
    </w:lvl>
  </w:abstractNum>
  <w:abstractNum w:abstractNumId="9">
    <w:nsid w:val="2D3C128D"/>
    <w:multiLevelType w:val="singleLevel"/>
    <w:tmpl w:val="1D06C98A"/>
    <w:lvl w:ilvl="0">
      <w:start w:val="1"/>
      <w:numFmt w:val="bullet"/>
      <w:lvlText w:val="-"/>
      <w:lvlJc w:val="left"/>
      <w:pPr>
        <w:tabs>
          <w:tab w:val="num" w:pos="360"/>
        </w:tabs>
        <w:ind w:left="360" w:hanging="360"/>
      </w:pPr>
      <w:rPr>
        <w:rFonts w:ascii="Times New Roman" w:hAnsi="Times New Roman" w:hint="default"/>
      </w:rPr>
    </w:lvl>
  </w:abstractNum>
  <w:abstractNum w:abstractNumId="10">
    <w:nsid w:val="2E23348B"/>
    <w:multiLevelType w:val="singleLevel"/>
    <w:tmpl w:val="0C0A000F"/>
    <w:lvl w:ilvl="0">
      <w:start w:val="1"/>
      <w:numFmt w:val="decimal"/>
      <w:lvlText w:val="%1."/>
      <w:lvlJc w:val="left"/>
      <w:pPr>
        <w:tabs>
          <w:tab w:val="num" w:pos="360"/>
        </w:tabs>
        <w:ind w:left="360" w:hanging="360"/>
      </w:pPr>
      <w:rPr>
        <w:rFonts w:hint="default"/>
      </w:rPr>
    </w:lvl>
  </w:abstractNum>
  <w:abstractNum w:abstractNumId="11">
    <w:nsid w:val="339E76BA"/>
    <w:multiLevelType w:val="singleLevel"/>
    <w:tmpl w:val="0C0A0011"/>
    <w:lvl w:ilvl="0">
      <w:start w:val="1"/>
      <w:numFmt w:val="decimal"/>
      <w:lvlText w:val="%1)"/>
      <w:lvlJc w:val="left"/>
      <w:pPr>
        <w:tabs>
          <w:tab w:val="num" w:pos="360"/>
        </w:tabs>
        <w:ind w:left="360" w:hanging="360"/>
      </w:pPr>
      <w:rPr>
        <w:rFonts w:hint="default"/>
      </w:rPr>
    </w:lvl>
  </w:abstractNum>
  <w:abstractNum w:abstractNumId="12">
    <w:nsid w:val="35A708A7"/>
    <w:multiLevelType w:val="singleLevel"/>
    <w:tmpl w:val="1D06C98A"/>
    <w:lvl w:ilvl="0">
      <w:numFmt w:val="bullet"/>
      <w:lvlText w:val="-"/>
      <w:lvlJc w:val="left"/>
      <w:pPr>
        <w:tabs>
          <w:tab w:val="num" w:pos="360"/>
        </w:tabs>
        <w:ind w:left="360" w:hanging="360"/>
      </w:pPr>
      <w:rPr>
        <w:rFonts w:hint="default"/>
      </w:rPr>
    </w:lvl>
  </w:abstractNum>
  <w:abstractNum w:abstractNumId="13">
    <w:nsid w:val="39011694"/>
    <w:multiLevelType w:val="singleLevel"/>
    <w:tmpl w:val="0C0A000F"/>
    <w:lvl w:ilvl="0">
      <w:start w:val="1"/>
      <w:numFmt w:val="decimal"/>
      <w:lvlText w:val="%1."/>
      <w:lvlJc w:val="left"/>
      <w:pPr>
        <w:tabs>
          <w:tab w:val="num" w:pos="360"/>
        </w:tabs>
        <w:ind w:left="360" w:hanging="360"/>
      </w:pPr>
      <w:rPr>
        <w:rFonts w:hint="default"/>
      </w:rPr>
    </w:lvl>
  </w:abstractNum>
  <w:abstractNum w:abstractNumId="14">
    <w:nsid w:val="43E8662B"/>
    <w:multiLevelType w:val="singleLevel"/>
    <w:tmpl w:val="1D06C98A"/>
    <w:lvl w:ilvl="0">
      <w:numFmt w:val="bullet"/>
      <w:lvlText w:val="-"/>
      <w:lvlJc w:val="left"/>
      <w:pPr>
        <w:tabs>
          <w:tab w:val="num" w:pos="360"/>
        </w:tabs>
        <w:ind w:left="360" w:hanging="360"/>
      </w:pPr>
      <w:rPr>
        <w:rFonts w:hint="default"/>
      </w:rPr>
    </w:lvl>
  </w:abstractNum>
  <w:abstractNum w:abstractNumId="15">
    <w:nsid w:val="50422F1A"/>
    <w:multiLevelType w:val="multilevel"/>
    <w:tmpl w:val="72886C3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6">
    <w:nsid w:val="5893593E"/>
    <w:multiLevelType w:val="singleLevel"/>
    <w:tmpl w:val="0C0A000F"/>
    <w:lvl w:ilvl="0">
      <w:start w:val="1"/>
      <w:numFmt w:val="decimal"/>
      <w:lvlText w:val="%1."/>
      <w:lvlJc w:val="left"/>
      <w:pPr>
        <w:tabs>
          <w:tab w:val="num" w:pos="360"/>
        </w:tabs>
        <w:ind w:left="360" w:hanging="360"/>
      </w:pPr>
      <w:rPr>
        <w:rFonts w:hint="default"/>
      </w:rPr>
    </w:lvl>
  </w:abstractNum>
  <w:abstractNum w:abstractNumId="17">
    <w:nsid w:val="5AD31E10"/>
    <w:multiLevelType w:val="singleLevel"/>
    <w:tmpl w:val="1D06C98A"/>
    <w:lvl w:ilvl="0">
      <w:numFmt w:val="bullet"/>
      <w:lvlText w:val="-"/>
      <w:lvlJc w:val="left"/>
      <w:pPr>
        <w:tabs>
          <w:tab w:val="num" w:pos="360"/>
        </w:tabs>
        <w:ind w:left="360" w:hanging="360"/>
      </w:pPr>
      <w:rPr>
        <w:rFonts w:hint="default"/>
      </w:rPr>
    </w:lvl>
  </w:abstractNum>
  <w:abstractNum w:abstractNumId="18">
    <w:nsid w:val="6BE73ECA"/>
    <w:multiLevelType w:val="singleLevel"/>
    <w:tmpl w:val="1D06C98A"/>
    <w:lvl w:ilvl="0">
      <w:start w:val="1"/>
      <w:numFmt w:val="bullet"/>
      <w:lvlText w:val="-"/>
      <w:lvlJc w:val="left"/>
      <w:pPr>
        <w:tabs>
          <w:tab w:val="num" w:pos="360"/>
        </w:tabs>
        <w:ind w:left="360" w:hanging="360"/>
      </w:pPr>
      <w:rPr>
        <w:rFonts w:ascii="Times New Roman" w:hAnsi="Times New Roman" w:hint="default"/>
      </w:rPr>
    </w:lvl>
  </w:abstractNum>
  <w:abstractNum w:abstractNumId="19">
    <w:nsid w:val="6F722EFA"/>
    <w:multiLevelType w:val="multilevel"/>
    <w:tmpl w:val="F426D8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nsid w:val="720446D1"/>
    <w:multiLevelType w:val="multilevel"/>
    <w:tmpl w:val="0B9A727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560"/>
        </w:tabs>
        <w:ind w:left="1560" w:hanging="48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1">
    <w:nsid w:val="721D1A7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733E5CD3"/>
    <w:multiLevelType w:val="multilevel"/>
    <w:tmpl w:val="C688ED0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88"/>
        </w:tabs>
        <w:ind w:left="1488" w:hanging="360"/>
      </w:pPr>
      <w:rPr>
        <w:rFonts w:hint="default"/>
      </w:rPr>
    </w:lvl>
    <w:lvl w:ilvl="2">
      <w:start w:val="1"/>
      <w:numFmt w:val="decimal"/>
      <w:lvlText w:val="%1.%2.%3"/>
      <w:lvlJc w:val="left"/>
      <w:pPr>
        <w:tabs>
          <w:tab w:val="num" w:pos="2976"/>
        </w:tabs>
        <w:ind w:left="2976" w:hanging="720"/>
      </w:pPr>
      <w:rPr>
        <w:rFonts w:hint="default"/>
      </w:rPr>
    </w:lvl>
    <w:lvl w:ilvl="3">
      <w:start w:val="1"/>
      <w:numFmt w:val="decimal"/>
      <w:lvlText w:val="%1.%2.%3.%4"/>
      <w:lvlJc w:val="left"/>
      <w:pPr>
        <w:tabs>
          <w:tab w:val="num" w:pos="4104"/>
        </w:tabs>
        <w:ind w:left="4104" w:hanging="720"/>
      </w:pPr>
      <w:rPr>
        <w:rFonts w:hint="default"/>
      </w:rPr>
    </w:lvl>
    <w:lvl w:ilvl="4">
      <w:start w:val="1"/>
      <w:numFmt w:val="decimal"/>
      <w:lvlText w:val="%1.%2.%3.%4.%5"/>
      <w:lvlJc w:val="left"/>
      <w:pPr>
        <w:tabs>
          <w:tab w:val="num" w:pos="5592"/>
        </w:tabs>
        <w:ind w:left="5592" w:hanging="1080"/>
      </w:pPr>
      <w:rPr>
        <w:rFonts w:hint="default"/>
      </w:rPr>
    </w:lvl>
    <w:lvl w:ilvl="5">
      <w:start w:val="1"/>
      <w:numFmt w:val="decimal"/>
      <w:lvlText w:val="%1.%2.%3.%4.%5.%6"/>
      <w:lvlJc w:val="left"/>
      <w:pPr>
        <w:tabs>
          <w:tab w:val="num" w:pos="6720"/>
        </w:tabs>
        <w:ind w:left="6720" w:hanging="1080"/>
      </w:pPr>
      <w:rPr>
        <w:rFonts w:hint="default"/>
      </w:rPr>
    </w:lvl>
    <w:lvl w:ilvl="6">
      <w:start w:val="1"/>
      <w:numFmt w:val="decimal"/>
      <w:lvlText w:val="%1.%2.%3.%4.%5.%6.%7"/>
      <w:lvlJc w:val="left"/>
      <w:pPr>
        <w:tabs>
          <w:tab w:val="num" w:pos="8208"/>
        </w:tabs>
        <w:ind w:left="8208" w:hanging="1440"/>
      </w:pPr>
      <w:rPr>
        <w:rFonts w:hint="default"/>
      </w:rPr>
    </w:lvl>
    <w:lvl w:ilvl="7">
      <w:start w:val="1"/>
      <w:numFmt w:val="decimal"/>
      <w:lvlText w:val="%1.%2.%3.%4.%5.%6.%7.%8"/>
      <w:lvlJc w:val="left"/>
      <w:pPr>
        <w:tabs>
          <w:tab w:val="num" w:pos="9336"/>
        </w:tabs>
        <w:ind w:left="9336" w:hanging="1440"/>
      </w:pPr>
      <w:rPr>
        <w:rFonts w:hint="default"/>
      </w:rPr>
    </w:lvl>
    <w:lvl w:ilvl="8">
      <w:start w:val="1"/>
      <w:numFmt w:val="decimal"/>
      <w:lvlText w:val="%1.%2.%3.%4.%5.%6.%7.%8.%9"/>
      <w:lvlJc w:val="left"/>
      <w:pPr>
        <w:tabs>
          <w:tab w:val="num" w:pos="10824"/>
        </w:tabs>
        <w:ind w:left="10824" w:hanging="1800"/>
      </w:pPr>
      <w:rPr>
        <w:rFonts w:hint="default"/>
      </w:rPr>
    </w:lvl>
  </w:abstractNum>
  <w:abstractNum w:abstractNumId="23">
    <w:nsid w:val="73D50E2B"/>
    <w:multiLevelType w:val="singleLevel"/>
    <w:tmpl w:val="0C0A0011"/>
    <w:lvl w:ilvl="0">
      <w:start w:val="1"/>
      <w:numFmt w:val="decimal"/>
      <w:lvlText w:val="%1)"/>
      <w:lvlJc w:val="left"/>
      <w:pPr>
        <w:tabs>
          <w:tab w:val="num" w:pos="360"/>
        </w:tabs>
        <w:ind w:left="360" w:hanging="360"/>
      </w:pPr>
      <w:rPr>
        <w:rFonts w:hint="default"/>
      </w:rPr>
    </w:lvl>
  </w:abstractNum>
  <w:abstractNum w:abstractNumId="24">
    <w:nsid w:val="7638181A"/>
    <w:multiLevelType w:val="multilevel"/>
    <w:tmpl w:val="ED3CD976"/>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7B38551D"/>
    <w:multiLevelType w:val="multilevel"/>
    <w:tmpl w:val="2AD2427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6">
    <w:nsid w:val="7D934530"/>
    <w:multiLevelType w:val="singleLevel"/>
    <w:tmpl w:val="1D06C98A"/>
    <w:lvl w:ilvl="0">
      <w:start w:val="1"/>
      <w:numFmt w:val="bullet"/>
      <w:lvlText w:val="-"/>
      <w:lvlJc w:val="left"/>
      <w:pPr>
        <w:tabs>
          <w:tab w:val="num" w:pos="360"/>
        </w:tabs>
        <w:ind w:left="360" w:hanging="360"/>
      </w:pPr>
      <w:rPr>
        <w:rFonts w:ascii="Times New Roman" w:hAnsi="Times New Roman" w:hint="default"/>
      </w:rPr>
    </w:lvl>
  </w:abstractNum>
  <w:abstractNum w:abstractNumId="27">
    <w:nsid w:val="7F8A2F7A"/>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25"/>
  </w:num>
  <w:num w:numId="3">
    <w:abstractNumId w:val="3"/>
  </w:num>
  <w:num w:numId="4">
    <w:abstractNumId w:val="5"/>
  </w:num>
  <w:num w:numId="5">
    <w:abstractNumId w:val="2"/>
  </w:num>
  <w:num w:numId="6">
    <w:abstractNumId w:val="19"/>
  </w:num>
  <w:num w:numId="7">
    <w:abstractNumId w:val="22"/>
  </w:num>
  <w:num w:numId="8">
    <w:abstractNumId w:val="27"/>
  </w:num>
  <w:num w:numId="9">
    <w:abstractNumId w:val="6"/>
  </w:num>
  <w:num w:numId="10">
    <w:abstractNumId w:val="15"/>
  </w:num>
  <w:num w:numId="11">
    <w:abstractNumId w:val="12"/>
  </w:num>
  <w:num w:numId="12">
    <w:abstractNumId w:val="10"/>
  </w:num>
  <w:num w:numId="13">
    <w:abstractNumId w:val="14"/>
  </w:num>
  <w:num w:numId="14">
    <w:abstractNumId w:val="17"/>
  </w:num>
  <w:num w:numId="15">
    <w:abstractNumId w:val="20"/>
  </w:num>
  <w:num w:numId="16">
    <w:abstractNumId w:val="0"/>
  </w:num>
  <w:num w:numId="17">
    <w:abstractNumId w:val="16"/>
  </w:num>
  <w:num w:numId="18">
    <w:abstractNumId w:val="13"/>
  </w:num>
  <w:num w:numId="19">
    <w:abstractNumId w:val="7"/>
  </w:num>
  <w:num w:numId="20">
    <w:abstractNumId w:val="1"/>
  </w:num>
  <w:num w:numId="21">
    <w:abstractNumId w:val="4"/>
  </w:num>
  <w:num w:numId="22">
    <w:abstractNumId w:val="11"/>
  </w:num>
  <w:num w:numId="23">
    <w:abstractNumId w:val="23"/>
  </w:num>
  <w:num w:numId="24">
    <w:abstractNumId w:val="8"/>
  </w:num>
  <w:num w:numId="25">
    <w:abstractNumId w:val="9"/>
  </w:num>
  <w:num w:numId="26">
    <w:abstractNumId w:val="18"/>
  </w:num>
  <w:num w:numId="27">
    <w:abstractNumId w:val="26"/>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s-EC" w:vendorID="9" w:dllVersion="512" w:checkStyle="1"/>
  <w:activeWritingStyle w:appName="MSWord" w:lang="es-ES_tradnl" w:vendorID="9" w:dllVersion="512" w:checkStyle="1"/>
  <w:activeWritingStyle w:appName="MSWord" w:lang="es-ES" w:vendorID="9" w:dllVersion="512" w:checkStyle="1"/>
  <w:activeWritingStyle w:appName="MSWord" w:lang="en-US" w:vendorID="8" w:dllVersion="513" w:checkStyle="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CE65AE"/>
    <w:rsid w:val="00614B1E"/>
    <w:rsid w:val="00CE65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Ttulo1">
    <w:name w:val="heading 1"/>
    <w:basedOn w:val="Normal"/>
    <w:next w:val="Normal"/>
    <w:qFormat/>
    <w:pPr>
      <w:keepNext/>
      <w:ind w:left="426"/>
      <w:jc w:val="center"/>
      <w:outlineLvl w:val="0"/>
    </w:pPr>
    <w:rPr>
      <w:rFonts w:ascii="Arial" w:hAnsi="Arial"/>
      <w:b/>
      <w:color w:val="000000"/>
      <w:sz w:val="24"/>
      <w:lang w:val="es-EC"/>
    </w:rPr>
  </w:style>
  <w:style w:type="paragraph" w:styleId="Ttulo2">
    <w:name w:val="heading 2"/>
    <w:basedOn w:val="Normal"/>
    <w:next w:val="Normal"/>
    <w:qFormat/>
    <w:pPr>
      <w:keepNext/>
      <w:jc w:val="center"/>
      <w:outlineLvl w:val="1"/>
    </w:pPr>
    <w:rPr>
      <w:rFonts w:ascii="Arial" w:hAnsi="Arial" w:cs="Arial"/>
      <w:b/>
      <w:bCs/>
      <w:sz w:val="24"/>
      <w:lang w:val="es-EC"/>
    </w:rPr>
  </w:style>
  <w:style w:type="paragraph" w:styleId="Ttulo3">
    <w:name w:val="heading 3"/>
    <w:basedOn w:val="Normal"/>
    <w:next w:val="Normal"/>
    <w:qFormat/>
    <w:pPr>
      <w:keepNext/>
      <w:outlineLvl w:val="2"/>
    </w:pPr>
    <w:rPr>
      <w:rFonts w:ascii="Arial" w:hAnsi="Arial" w:cs="Arial"/>
      <w:b/>
      <w:sz w:val="24"/>
      <w:lang w:val="es-EC"/>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426"/>
      <w:jc w:val="both"/>
    </w:pPr>
    <w:rPr>
      <w:rFonts w:ascii="Arial" w:hAnsi="Arial"/>
      <w:color w:val="000000"/>
      <w:sz w:val="24"/>
      <w:lang w:val="es-EC"/>
    </w:rPr>
  </w:style>
  <w:style w:type="paragraph" w:styleId="Sangra2detindependiente">
    <w:name w:val="Body Text Indent 2"/>
    <w:basedOn w:val="Normal"/>
    <w:semiHidden/>
    <w:pPr>
      <w:ind w:left="426"/>
      <w:jc w:val="center"/>
    </w:pPr>
    <w:rPr>
      <w:rFonts w:ascii="Arial" w:hAnsi="Arial"/>
      <w:b/>
      <w:color w:val="000000"/>
      <w:sz w:val="24"/>
      <w:lang w:val="es-EC"/>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 w:type="paragraph" w:styleId="Sangra3detindependiente">
    <w:name w:val="Body Text Indent 3"/>
    <w:basedOn w:val="Normal"/>
    <w:semiHidden/>
    <w:pPr>
      <w:spacing w:line="480" w:lineRule="auto"/>
      <w:ind w:left="993"/>
      <w:jc w:val="both"/>
    </w:pPr>
    <w:rPr>
      <w:rFonts w:ascii="Arial" w:hAnsi="Arial"/>
      <w:color w:val="000000"/>
      <w:sz w:val="24"/>
      <w:lang w:val="es-EC"/>
    </w:rPr>
  </w:style>
  <w:style w:type="paragraph" w:styleId="Textoindependiente">
    <w:name w:val="Body Text"/>
    <w:basedOn w:val="Normal"/>
    <w:semiHidden/>
    <w:pPr>
      <w:jc w:val="center"/>
    </w:pPr>
    <w:rPr>
      <w:rFonts w:ascii="Arial" w:hAnsi="Arial" w:cs="Arial"/>
      <w:b/>
      <w:bCs/>
      <w:sz w:val="24"/>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oleObject" Target="embeddings/Hoja_de_c_lculo_de_Microsoft_Office_Excel_97-20031.xls"/><Relationship Id="rId34" Type="http://schemas.openxmlformats.org/officeDocument/2006/relationships/oleObject" Target="embeddings/oleObject9.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chart" Target="charts/chart5.xml"/><Relationship Id="rId25" Type="http://schemas.openxmlformats.org/officeDocument/2006/relationships/oleObject" Target="embeddings/oleObject5.bin"/><Relationship Id="rId33" Type="http://schemas.openxmlformats.org/officeDocument/2006/relationships/image" Target="media/image11.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1.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chart" Target="charts/chart7.xml"/><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oleObject" Target="embeddings/oleObject10.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886304909560723"/>
          <c:y val="0.11167512690355336"/>
          <c:w val="0.63049095607235162"/>
          <c:h val="0.67512690355329985"/>
        </c:manualLayout>
      </c:layout>
      <c:barChart>
        <c:barDir val="col"/>
        <c:grouping val="clustered"/>
        <c:ser>
          <c:idx val="0"/>
          <c:order val="0"/>
          <c:tx>
            <c:strRef>
              <c:f>Hoja1!$A$3</c:f>
              <c:strCache>
                <c:ptCount val="1"/>
                <c:pt idx="0">
                  <c:v>Japón</c:v>
                </c:pt>
              </c:strCache>
            </c:strRef>
          </c:tx>
          <c:spPr>
            <a:solidFill>
              <a:srgbClr val="9999FF"/>
            </a:solidFill>
            <a:ln w="17434">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Hoja1!$B$3:$F$3</c:f>
              <c:numCache>
                <c:formatCode>General</c:formatCode>
                <c:ptCount val="5"/>
                <c:pt idx="0">
                  <c:v>690</c:v>
                </c:pt>
                <c:pt idx="1">
                  <c:v>717</c:v>
                </c:pt>
                <c:pt idx="2">
                  <c:v>628</c:v>
                </c:pt>
                <c:pt idx="3">
                  <c:v>598</c:v>
                </c:pt>
                <c:pt idx="4">
                  <c:v>561</c:v>
                </c:pt>
              </c:numCache>
            </c:numRef>
          </c:val>
        </c:ser>
        <c:ser>
          <c:idx val="1"/>
          <c:order val="1"/>
          <c:tx>
            <c:strRef>
              <c:f>Hoja1!$A$4</c:f>
              <c:strCache>
                <c:ptCount val="1"/>
                <c:pt idx="0">
                  <c:v>Taiwán</c:v>
                </c:pt>
              </c:strCache>
            </c:strRef>
          </c:tx>
          <c:spPr>
            <a:solidFill>
              <a:srgbClr val="993366"/>
            </a:solidFill>
            <a:ln w="17434">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Hoja1!$B$4:$F$4</c:f>
              <c:numCache>
                <c:formatCode>General</c:formatCode>
                <c:ptCount val="5"/>
                <c:pt idx="0">
                  <c:v>191</c:v>
                </c:pt>
                <c:pt idx="1">
                  <c:v>214</c:v>
                </c:pt>
                <c:pt idx="2">
                  <c:v>363</c:v>
                </c:pt>
                <c:pt idx="3">
                  <c:v>405</c:v>
                </c:pt>
                <c:pt idx="4">
                  <c:v>496</c:v>
                </c:pt>
              </c:numCache>
            </c:numRef>
          </c:val>
        </c:ser>
        <c:ser>
          <c:idx val="2"/>
          <c:order val="2"/>
          <c:tx>
            <c:strRef>
              <c:f>Hoja1!$A$5</c:f>
              <c:strCache>
                <c:ptCount val="1"/>
                <c:pt idx="0">
                  <c:v>España</c:v>
                </c:pt>
              </c:strCache>
            </c:strRef>
          </c:tx>
          <c:spPr>
            <a:solidFill>
              <a:srgbClr val="FFFFCC"/>
            </a:solidFill>
            <a:ln w="17434">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Hoja1!$B$5:$F$5</c:f>
              <c:numCache>
                <c:formatCode>General</c:formatCode>
                <c:ptCount val="5"/>
                <c:pt idx="0">
                  <c:v>205</c:v>
                </c:pt>
                <c:pt idx="1">
                  <c:v>270</c:v>
                </c:pt>
                <c:pt idx="2">
                  <c:v>295</c:v>
                </c:pt>
                <c:pt idx="3">
                  <c:v>306</c:v>
                </c:pt>
                <c:pt idx="4">
                  <c:v>277</c:v>
                </c:pt>
              </c:numCache>
            </c:numRef>
          </c:val>
        </c:ser>
        <c:ser>
          <c:idx val="3"/>
          <c:order val="3"/>
          <c:tx>
            <c:strRef>
              <c:f>Hoja1!$A$6</c:f>
              <c:strCache>
                <c:ptCount val="1"/>
                <c:pt idx="0">
                  <c:v>Indonesia</c:v>
                </c:pt>
              </c:strCache>
            </c:strRef>
          </c:tx>
          <c:spPr>
            <a:solidFill>
              <a:srgbClr val="CCFFFF"/>
            </a:solidFill>
            <a:ln w="17434">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Hoja1!$B$6:$F$6</c:f>
              <c:numCache>
                <c:formatCode>General</c:formatCode>
                <c:ptCount val="5"/>
                <c:pt idx="0">
                  <c:v>103</c:v>
                </c:pt>
                <c:pt idx="1">
                  <c:v>133</c:v>
                </c:pt>
                <c:pt idx="2">
                  <c:v>160</c:v>
                </c:pt>
                <c:pt idx="3">
                  <c:v>245</c:v>
                </c:pt>
                <c:pt idx="4">
                  <c:v>406</c:v>
                </c:pt>
              </c:numCache>
            </c:numRef>
          </c:val>
        </c:ser>
        <c:ser>
          <c:idx val="4"/>
          <c:order val="4"/>
          <c:tx>
            <c:strRef>
              <c:f>Hoja1!$A$7</c:f>
              <c:strCache>
                <c:ptCount val="1"/>
                <c:pt idx="0">
                  <c:v>Corea</c:v>
                </c:pt>
              </c:strCache>
            </c:strRef>
          </c:tx>
          <c:spPr>
            <a:solidFill>
              <a:srgbClr val="660066"/>
            </a:solidFill>
            <a:ln w="17434">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Hoja1!$B$7:$F$7</c:f>
              <c:numCache>
                <c:formatCode>General</c:formatCode>
                <c:ptCount val="5"/>
                <c:pt idx="0">
                  <c:v>131</c:v>
                </c:pt>
                <c:pt idx="1">
                  <c:v>267</c:v>
                </c:pt>
                <c:pt idx="2">
                  <c:v>218</c:v>
                </c:pt>
                <c:pt idx="3">
                  <c:v>182</c:v>
                </c:pt>
                <c:pt idx="4">
                  <c:v>258</c:v>
                </c:pt>
              </c:numCache>
            </c:numRef>
          </c:val>
        </c:ser>
        <c:axId val="221971584"/>
        <c:axId val="221973120"/>
      </c:barChart>
      <c:catAx>
        <c:axId val="221971584"/>
        <c:scaling>
          <c:orientation val="minMax"/>
        </c:scaling>
        <c:axPos val="b"/>
        <c:numFmt formatCode="General" sourceLinked="1"/>
        <c:tickLblPos val="nextTo"/>
        <c:spPr>
          <a:ln w="4358">
            <a:solidFill>
              <a:srgbClr val="000000"/>
            </a:solidFill>
            <a:prstDash val="solid"/>
          </a:ln>
        </c:spPr>
        <c:txPr>
          <a:bodyPr rot="0" vert="horz"/>
          <a:lstStyle/>
          <a:p>
            <a:pPr>
              <a:defRPr sz="1441" b="0" i="0" u="none" strike="noStrike" baseline="0">
                <a:solidFill>
                  <a:srgbClr val="000000"/>
                </a:solidFill>
                <a:latin typeface="Arial"/>
                <a:ea typeface="Arial"/>
                <a:cs typeface="Arial"/>
              </a:defRPr>
            </a:pPr>
            <a:endParaRPr lang="es-ES"/>
          </a:p>
        </c:txPr>
        <c:crossAx val="221973120"/>
        <c:crosses val="autoZero"/>
        <c:auto val="1"/>
        <c:lblAlgn val="ctr"/>
        <c:lblOffset val="100"/>
        <c:tickLblSkip val="1"/>
        <c:tickMarkSkip val="1"/>
      </c:catAx>
      <c:valAx>
        <c:axId val="221973120"/>
        <c:scaling>
          <c:orientation val="minMax"/>
        </c:scaling>
        <c:axPos val="l"/>
        <c:majorGridlines>
          <c:spPr>
            <a:ln w="4358">
              <a:solidFill>
                <a:srgbClr val="000000"/>
              </a:solidFill>
              <a:prstDash val="solid"/>
            </a:ln>
          </c:spPr>
        </c:majorGridlines>
        <c:numFmt formatCode="General" sourceLinked="1"/>
        <c:tickLblPos val="nextTo"/>
        <c:spPr>
          <a:ln w="4358">
            <a:solidFill>
              <a:srgbClr val="000000"/>
            </a:solidFill>
            <a:prstDash val="solid"/>
          </a:ln>
        </c:spPr>
        <c:txPr>
          <a:bodyPr rot="0" vert="horz"/>
          <a:lstStyle/>
          <a:p>
            <a:pPr>
              <a:defRPr sz="1441" b="0" i="0" u="none" strike="noStrike" baseline="0">
                <a:solidFill>
                  <a:srgbClr val="000000"/>
                </a:solidFill>
                <a:latin typeface="Arial"/>
                <a:ea typeface="Arial"/>
                <a:cs typeface="Arial"/>
              </a:defRPr>
            </a:pPr>
            <a:endParaRPr lang="es-ES"/>
          </a:p>
        </c:txPr>
        <c:crossAx val="221971584"/>
        <c:crosses val="autoZero"/>
        <c:crossBetween val="between"/>
      </c:valAx>
      <c:spPr>
        <a:solidFill>
          <a:srgbClr val="C0C0C0"/>
        </a:solidFill>
        <a:ln w="17434">
          <a:solidFill>
            <a:srgbClr val="808080"/>
          </a:solidFill>
          <a:prstDash val="solid"/>
        </a:ln>
      </c:spPr>
    </c:plotArea>
    <c:legend>
      <c:legendPos val="r"/>
      <c:layout>
        <c:manualLayout>
          <c:xMode val="edge"/>
          <c:yMode val="edge"/>
          <c:x val="0.77777777777777801"/>
          <c:y val="0.16751269035533001"/>
          <c:w val="0.21447028423772621"/>
          <c:h val="0.56345177664974644"/>
        </c:manualLayout>
      </c:layout>
      <c:spPr>
        <a:solidFill>
          <a:srgbClr val="FFFFFF"/>
        </a:solidFill>
        <a:ln w="34867">
          <a:noFill/>
        </a:ln>
      </c:spPr>
      <c:txPr>
        <a:bodyPr/>
        <a:lstStyle/>
        <a:p>
          <a:pPr>
            <a:defRPr sz="13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a:noFill/>
    </a:ln>
  </c:spPr>
  <c:txPr>
    <a:bodyPr/>
    <a:lstStyle/>
    <a:p>
      <a:pPr>
        <a:defRPr sz="144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144578313253022"/>
          <c:y val="5.0209205020920487E-2"/>
          <c:w val="0.69156626506024055"/>
          <c:h val="0.71548117154811741"/>
        </c:manualLayout>
      </c:layout>
      <c:barChart>
        <c:barDir val="col"/>
        <c:grouping val="clustered"/>
        <c:ser>
          <c:idx val="0"/>
          <c:order val="0"/>
          <c:tx>
            <c:strRef>
              <c:f>Hoja1!$A$18</c:f>
              <c:strCache>
                <c:ptCount val="1"/>
                <c:pt idx="0">
                  <c:v>Total</c:v>
                </c:pt>
              </c:strCache>
            </c:strRef>
          </c:tx>
          <c:spPr>
            <a:solidFill>
              <a:srgbClr val="9999FF"/>
            </a:solidFill>
            <a:ln w="17453">
              <a:solidFill>
                <a:srgbClr val="000000"/>
              </a:solidFill>
              <a:prstDash val="solid"/>
            </a:ln>
          </c:spPr>
          <c:cat>
            <c:numRef>
              <c:f>Hoja1!$B$17:$E$17</c:f>
              <c:numCache>
                <c:formatCode>General</c:formatCode>
                <c:ptCount val="4"/>
                <c:pt idx="0">
                  <c:v>1986</c:v>
                </c:pt>
                <c:pt idx="1">
                  <c:v>1991</c:v>
                </c:pt>
                <c:pt idx="2">
                  <c:v>1996</c:v>
                </c:pt>
                <c:pt idx="3">
                  <c:v>2002</c:v>
                </c:pt>
              </c:numCache>
            </c:numRef>
          </c:cat>
          <c:val>
            <c:numRef>
              <c:f>Hoja1!$B$18:$E$18</c:f>
              <c:numCache>
                <c:formatCode>General</c:formatCode>
                <c:ptCount val="4"/>
                <c:pt idx="0">
                  <c:v>22900</c:v>
                </c:pt>
                <c:pt idx="1">
                  <c:v>38700</c:v>
                </c:pt>
                <c:pt idx="2">
                  <c:v>52700</c:v>
                </c:pt>
                <c:pt idx="3">
                  <c:v>58200</c:v>
                </c:pt>
              </c:numCache>
            </c:numRef>
          </c:val>
        </c:ser>
        <c:ser>
          <c:idx val="1"/>
          <c:order val="1"/>
          <c:tx>
            <c:strRef>
              <c:f>Hoja1!$A$19</c:f>
              <c:strCache>
                <c:ptCount val="1"/>
                <c:pt idx="0">
                  <c:v>Atún</c:v>
                </c:pt>
              </c:strCache>
            </c:strRef>
          </c:tx>
          <c:spPr>
            <a:solidFill>
              <a:srgbClr val="993366"/>
            </a:solidFill>
            <a:ln w="17453">
              <a:solidFill>
                <a:srgbClr val="000000"/>
              </a:solidFill>
              <a:prstDash val="solid"/>
            </a:ln>
          </c:spPr>
          <c:cat>
            <c:numRef>
              <c:f>Hoja1!$B$17:$E$17</c:f>
              <c:numCache>
                <c:formatCode>General</c:formatCode>
                <c:ptCount val="4"/>
                <c:pt idx="0">
                  <c:v>1986</c:v>
                </c:pt>
                <c:pt idx="1">
                  <c:v>1991</c:v>
                </c:pt>
                <c:pt idx="2">
                  <c:v>1996</c:v>
                </c:pt>
                <c:pt idx="3">
                  <c:v>2002</c:v>
                </c:pt>
              </c:numCache>
            </c:numRef>
          </c:cat>
          <c:val>
            <c:numRef>
              <c:f>Hoja1!$B$19:$E$19</c:f>
              <c:numCache>
                <c:formatCode>General</c:formatCode>
                <c:ptCount val="4"/>
                <c:pt idx="0">
                  <c:v>1600</c:v>
                </c:pt>
                <c:pt idx="1">
                  <c:v>2900</c:v>
                </c:pt>
                <c:pt idx="2">
                  <c:v>4200</c:v>
                </c:pt>
                <c:pt idx="3">
                  <c:v>5000</c:v>
                </c:pt>
              </c:numCache>
            </c:numRef>
          </c:val>
        </c:ser>
        <c:axId val="222019968"/>
        <c:axId val="222021888"/>
      </c:barChart>
      <c:lineChart>
        <c:grouping val="standard"/>
        <c:ser>
          <c:idx val="2"/>
          <c:order val="2"/>
          <c:tx>
            <c:strRef>
              <c:f>Hoja1!$A$20</c:f>
              <c:strCache>
                <c:ptCount val="1"/>
                <c:pt idx="0">
                  <c:v>Atún/Total</c:v>
                </c:pt>
              </c:strCache>
            </c:strRef>
          </c:tx>
          <c:spPr>
            <a:ln w="17453">
              <a:solidFill>
                <a:srgbClr val="FFFF00"/>
              </a:solidFill>
              <a:prstDash val="solid"/>
            </a:ln>
          </c:spPr>
          <c:marker>
            <c:symbol val="triangle"/>
            <c:size val="6"/>
            <c:spPr>
              <a:solidFill>
                <a:srgbClr val="FFFF00"/>
              </a:solidFill>
              <a:ln>
                <a:solidFill>
                  <a:srgbClr val="FFFF00"/>
                </a:solidFill>
                <a:prstDash val="solid"/>
              </a:ln>
            </c:spPr>
          </c:marker>
          <c:cat>
            <c:numRef>
              <c:f>Hoja1!$B$17:$E$17</c:f>
              <c:numCache>
                <c:formatCode>General</c:formatCode>
                <c:ptCount val="4"/>
                <c:pt idx="0">
                  <c:v>1986</c:v>
                </c:pt>
                <c:pt idx="1">
                  <c:v>1991</c:v>
                </c:pt>
                <c:pt idx="2">
                  <c:v>1996</c:v>
                </c:pt>
                <c:pt idx="3">
                  <c:v>2002</c:v>
                </c:pt>
              </c:numCache>
            </c:numRef>
          </c:cat>
          <c:val>
            <c:numRef>
              <c:f>Hoja1!$B$20:$E$20</c:f>
              <c:numCache>
                <c:formatCode>0.0%</c:formatCode>
                <c:ptCount val="4"/>
                <c:pt idx="0">
                  <c:v>7.0000000000000021E-2</c:v>
                </c:pt>
                <c:pt idx="1">
                  <c:v>7.5000000000000011E-2</c:v>
                </c:pt>
                <c:pt idx="2">
                  <c:v>8.0000000000000029E-2</c:v>
                </c:pt>
                <c:pt idx="3">
                  <c:v>8.6000000000000021E-2</c:v>
                </c:pt>
              </c:numCache>
            </c:numRef>
          </c:val>
        </c:ser>
        <c:marker val="1"/>
        <c:axId val="222031872"/>
        <c:axId val="222033408"/>
      </c:lineChart>
      <c:catAx>
        <c:axId val="222019968"/>
        <c:scaling>
          <c:orientation val="minMax"/>
        </c:scaling>
        <c:axPos val="b"/>
        <c:numFmt formatCode="General" sourceLinked="1"/>
        <c:tickLblPos val="nextTo"/>
        <c:spPr>
          <a:ln w="4363">
            <a:solidFill>
              <a:srgbClr val="000000"/>
            </a:solidFill>
            <a:prstDash val="solid"/>
          </a:ln>
        </c:spPr>
        <c:txPr>
          <a:bodyPr rot="0" vert="horz"/>
          <a:lstStyle/>
          <a:p>
            <a:pPr>
              <a:defRPr sz="1443" b="0" i="0" u="none" strike="noStrike" baseline="0">
                <a:solidFill>
                  <a:srgbClr val="000000"/>
                </a:solidFill>
                <a:latin typeface="Arial"/>
                <a:ea typeface="Arial"/>
                <a:cs typeface="Arial"/>
              </a:defRPr>
            </a:pPr>
            <a:endParaRPr lang="es-ES"/>
          </a:p>
        </c:txPr>
        <c:crossAx val="222021888"/>
        <c:crosses val="autoZero"/>
        <c:auto val="1"/>
        <c:lblAlgn val="ctr"/>
        <c:lblOffset val="100"/>
        <c:tickLblSkip val="1"/>
        <c:tickMarkSkip val="1"/>
      </c:catAx>
      <c:valAx>
        <c:axId val="222021888"/>
        <c:scaling>
          <c:orientation val="minMax"/>
          <c:max val="70000"/>
          <c:min val="0"/>
        </c:scaling>
        <c:axPos val="l"/>
        <c:majorGridlines>
          <c:spPr>
            <a:ln w="4363">
              <a:solidFill>
                <a:srgbClr val="000000"/>
              </a:solidFill>
              <a:prstDash val="solid"/>
            </a:ln>
          </c:spPr>
        </c:majorGridlines>
        <c:numFmt formatCode="#,##0" sourceLinked="0"/>
        <c:tickLblPos val="nextTo"/>
        <c:spPr>
          <a:ln w="4363">
            <a:solidFill>
              <a:srgbClr val="000000"/>
            </a:solidFill>
            <a:prstDash val="solid"/>
          </a:ln>
        </c:spPr>
        <c:txPr>
          <a:bodyPr rot="0" vert="horz"/>
          <a:lstStyle/>
          <a:p>
            <a:pPr>
              <a:defRPr sz="1443" b="0" i="0" u="none" strike="noStrike" baseline="0">
                <a:solidFill>
                  <a:srgbClr val="000000"/>
                </a:solidFill>
                <a:latin typeface="Arial"/>
                <a:ea typeface="Arial"/>
                <a:cs typeface="Arial"/>
              </a:defRPr>
            </a:pPr>
            <a:endParaRPr lang="es-ES"/>
          </a:p>
        </c:txPr>
        <c:crossAx val="222019968"/>
        <c:crosses val="autoZero"/>
        <c:crossBetween val="between"/>
        <c:majorUnit val="10000"/>
        <c:minorUnit val="2000"/>
      </c:valAx>
      <c:catAx>
        <c:axId val="222031872"/>
        <c:scaling>
          <c:orientation val="minMax"/>
        </c:scaling>
        <c:delete val="1"/>
        <c:axPos val="b"/>
        <c:numFmt formatCode="General" sourceLinked="1"/>
        <c:tickLblPos val="nextTo"/>
        <c:crossAx val="222033408"/>
        <c:crosses val="autoZero"/>
        <c:auto val="1"/>
        <c:lblAlgn val="ctr"/>
        <c:lblOffset val="100"/>
      </c:catAx>
      <c:valAx>
        <c:axId val="222033408"/>
        <c:scaling>
          <c:orientation val="minMax"/>
        </c:scaling>
        <c:axPos val="r"/>
        <c:numFmt formatCode="0.0%" sourceLinked="1"/>
        <c:tickLblPos val="nextTo"/>
        <c:spPr>
          <a:ln w="4363">
            <a:solidFill>
              <a:srgbClr val="000000"/>
            </a:solidFill>
            <a:prstDash val="solid"/>
          </a:ln>
        </c:spPr>
        <c:txPr>
          <a:bodyPr rot="0" vert="horz"/>
          <a:lstStyle/>
          <a:p>
            <a:pPr>
              <a:defRPr sz="1443" b="0" i="0" u="none" strike="noStrike" baseline="0">
                <a:solidFill>
                  <a:srgbClr val="000000"/>
                </a:solidFill>
                <a:latin typeface="Arial"/>
                <a:ea typeface="Arial"/>
                <a:cs typeface="Arial"/>
              </a:defRPr>
            </a:pPr>
            <a:endParaRPr lang="es-ES"/>
          </a:p>
        </c:txPr>
        <c:crossAx val="222031872"/>
        <c:crosses val="max"/>
        <c:crossBetween val="between"/>
      </c:valAx>
      <c:spPr>
        <a:solidFill>
          <a:srgbClr val="C0C0C0"/>
        </a:solidFill>
        <a:ln w="17453">
          <a:solidFill>
            <a:srgbClr val="808080"/>
          </a:solidFill>
          <a:prstDash val="solid"/>
        </a:ln>
      </c:spPr>
    </c:plotArea>
    <c:legend>
      <c:legendPos val="b"/>
      <c:layout>
        <c:manualLayout>
          <c:xMode val="edge"/>
          <c:yMode val="edge"/>
          <c:x val="0.19759036144578318"/>
          <c:y val="0.89958158995815862"/>
          <c:w val="0.61927710843373518"/>
          <c:h val="0.1046025104602511"/>
        </c:manualLayout>
      </c:layout>
      <c:spPr>
        <a:solidFill>
          <a:srgbClr val="FFFFFF"/>
        </a:solidFill>
        <a:ln w="34905">
          <a:noFill/>
        </a:ln>
      </c:spPr>
      <c:txPr>
        <a:bodyPr/>
        <a:lstStyle/>
        <a:p>
          <a:pPr>
            <a:defRPr sz="1512"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a:noFill/>
    </a:ln>
  </c:spPr>
  <c:txPr>
    <a:bodyPr/>
    <a:lstStyle/>
    <a:p>
      <a:pPr>
        <a:defRPr sz="164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253196930946288"/>
          <c:y val="5.0458715596330292E-2"/>
          <c:w val="0.86189258312020467"/>
          <c:h val="0.57339449541284404"/>
        </c:manualLayout>
      </c:layout>
      <c:barChart>
        <c:barDir val="col"/>
        <c:grouping val="clustered"/>
        <c:ser>
          <c:idx val="0"/>
          <c:order val="0"/>
          <c:tx>
            <c:strRef>
              <c:f>Hoja1!$A$3</c:f>
              <c:strCache>
                <c:ptCount val="1"/>
                <c:pt idx="0">
                  <c:v>Skipjack</c:v>
                </c:pt>
              </c:strCache>
            </c:strRef>
          </c:tx>
          <c:spPr>
            <a:solidFill>
              <a:srgbClr val="9999FF"/>
            </a:solidFill>
            <a:ln w="18598">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Hoja1!$B$3:$F$3</c:f>
              <c:numCache>
                <c:formatCode>#,##0</c:formatCode>
                <c:ptCount val="5"/>
                <c:pt idx="0">
                  <c:v>1016</c:v>
                </c:pt>
                <c:pt idx="1">
                  <c:v>1580</c:v>
                </c:pt>
                <c:pt idx="2">
                  <c:v>1649</c:v>
                </c:pt>
                <c:pt idx="3">
                  <c:v>1989</c:v>
                </c:pt>
                <c:pt idx="4">
                  <c:v>2030</c:v>
                </c:pt>
              </c:numCache>
            </c:numRef>
          </c:val>
        </c:ser>
        <c:ser>
          <c:idx val="1"/>
          <c:order val="1"/>
          <c:tx>
            <c:strRef>
              <c:f>Hoja1!$A$4</c:f>
              <c:strCache>
                <c:ptCount val="1"/>
                <c:pt idx="0">
                  <c:v>Yellowfin</c:v>
                </c:pt>
              </c:strCache>
            </c:strRef>
          </c:tx>
          <c:spPr>
            <a:solidFill>
              <a:srgbClr val="993366"/>
            </a:solidFill>
            <a:ln w="18598">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Hoja1!$B$4:$F$4</c:f>
              <c:numCache>
                <c:formatCode>General</c:formatCode>
                <c:ptCount val="5"/>
                <c:pt idx="0">
                  <c:v>847</c:v>
                </c:pt>
                <c:pt idx="1">
                  <c:v>920</c:v>
                </c:pt>
                <c:pt idx="2">
                  <c:v>991</c:v>
                </c:pt>
                <c:pt idx="3" formatCode="#,##0">
                  <c:v>1080</c:v>
                </c:pt>
                <c:pt idx="4" formatCode="#,##0">
                  <c:v>1347</c:v>
                </c:pt>
              </c:numCache>
            </c:numRef>
          </c:val>
        </c:ser>
        <c:ser>
          <c:idx val="2"/>
          <c:order val="2"/>
          <c:tx>
            <c:strRef>
              <c:f>Hoja1!$A$5</c:f>
              <c:strCache>
                <c:ptCount val="1"/>
                <c:pt idx="0">
                  <c:v>Bigeye</c:v>
                </c:pt>
              </c:strCache>
            </c:strRef>
          </c:tx>
          <c:spPr>
            <a:solidFill>
              <a:srgbClr val="FFFFCC"/>
            </a:solidFill>
            <a:ln w="18598">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Hoja1!$B$5:$F$5</c:f>
              <c:numCache>
                <c:formatCode>General</c:formatCode>
                <c:ptCount val="5"/>
                <c:pt idx="0">
                  <c:v>264</c:v>
                </c:pt>
                <c:pt idx="1">
                  <c:v>276</c:v>
                </c:pt>
                <c:pt idx="2">
                  <c:v>368</c:v>
                </c:pt>
                <c:pt idx="3">
                  <c:v>400</c:v>
                </c:pt>
                <c:pt idx="4">
                  <c:v>430</c:v>
                </c:pt>
              </c:numCache>
            </c:numRef>
          </c:val>
        </c:ser>
        <c:ser>
          <c:idx val="3"/>
          <c:order val="3"/>
          <c:tx>
            <c:strRef>
              <c:f>Hoja1!$A$6</c:f>
              <c:strCache>
                <c:ptCount val="1"/>
                <c:pt idx="0">
                  <c:v>Albacore</c:v>
                </c:pt>
              </c:strCache>
            </c:strRef>
          </c:tx>
          <c:spPr>
            <a:solidFill>
              <a:srgbClr val="CCFFFF"/>
            </a:solidFill>
            <a:ln w="18598">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Hoja1!$B$6:$F$6</c:f>
              <c:numCache>
                <c:formatCode>General</c:formatCode>
                <c:ptCount val="5"/>
                <c:pt idx="0">
                  <c:v>220</c:v>
                </c:pt>
                <c:pt idx="1">
                  <c:v>171</c:v>
                </c:pt>
                <c:pt idx="2">
                  <c:v>192</c:v>
                </c:pt>
                <c:pt idx="3">
                  <c:v>244</c:v>
                </c:pt>
                <c:pt idx="4">
                  <c:v>238</c:v>
                </c:pt>
              </c:numCache>
            </c:numRef>
          </c:val>
        </c:ser>
        <c:ser>
          <c:idx val="4"/>
          <c:order val="4"/>
          <c:tx>
            <c:strRef>
              <c:f>Hoja1!$A$7</c:f>
              <c:strCache>
                <c:ptCount val="1"/>
                <c:pt idx="0">
                  <c:v>Bluefins</c:v>
                </c:pt>
              </c:strCache>
            </c:strRef>
          </c:tx>
          <c:spPr>
            <a:solidFill>
              <a:srgbClr val="660066"/>
            </a:solidFill>
            <a:ln w="18598">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Hoja1!$B$7:$F$7</c:f>
              <c:numCache>
                <c:formatCode>General</c:formatCode>
                <c:ptCount val="5"/>
                <c:pt idx="0">
                  <c:v>58</c:v>
                </c:pt>
                <c:pt idx="1">
                  <c:v>45</c:v>
                </c:pt>
                <c:pt idx="2">
                  <c:v>70</c:v>
                </c:pt>
                <c:pt idx="3">
                  <c:v>70</c:v>
                </c:pt>
                <c:pt idx="4">
                  <c:v>64</c:v>
                </c:pt>
              </c:numCache>
            </c:numRef>
          </c:val>
        </c:ser>
        <c:ser>
          <c:idx val="5"/>
          <c:order val="5"/>
          <c:tx>
            <c:strRef>
              <c:f>Hoja1!$A$8</c:f>
              <c:strCache>
                <c:ptCount val="1"/>
                <c:pt idx="0">
                  <c:v>TOTAL</c:v>
                </c:pt>
              </c:strCache>
            </c:strRef>
          </c:tx>
          <c:spPr>
            <a:solidFill>
              <a:srgbClr val="FF8080"/>
            </a:solidFill>
            <a:ln w="18598">
              <a:solidFill>
                <a:srgbClr val="000000"/>
              </a:solidFill>
              <a:prstDash val="solid"/>
            </a:ln>
          </c:spPr>
          <c:cat>
            <c:numRef>
              <c:f>Hoja1!$B$2:$F$2</c:f>
              <c:numCache>
                <c:formatCode>General</c:formatCode>
                <c:ptCount val="5"/>
                <c:pt idx="0">
                  <c:v>1987</c:v>
                </c:pt>
                <c:pt idx="1">
                  <c:v>1991</c:v>
                </c:pt>
                <c:pt idx="2">
                  <c:v>1995</c:v>
                </c:pt>
                <c:pt idx="3">
                  <c:v>1999</c:v>
                </c:pt>
                <c:pt idx="4">
                  <c:v>2002</c:v>
                </c:pt>
              </c:numCache>
            </c:numRef>
          </c:cat>
          <c:val>
            <c:numRef>
              <c:f>Hoja1!$B$8:$F$8</c:f>
              <c:numCache>
                <c:formatCode>#,##0</c:formatCode>
                <c:ptCount val="5"/>
                <c:pt idx="0">
                  <c:v>2406</c:v>
                </c:pt>
                <c:pt idx="1">
                  <c:v>2991</c:v>
                </c:pt>
                <c:pt idx="2">
                  <c:v>3269</c:v>
                </c:pt>
                <c:pt idx="3">
                  <c:v>3782</c:v>
                </c:pt>
                <c:pt idx="4">
                  <c:v>4104</c:v>
                </c:pt>
              </c:numCache>
            </c:numRef>
          </c:val>
        </c:ser>
        <c:axId val="227652352"/>
        <c:axId val="227653888"/>
      </c:barChart>
      <c:catAx>
        <c:axId val="227652352"/>
        <c:scaling>
          <c:orientation val="minMax"/>
        </c:scaling>
        <c:axPos val="b"/>
        <c:numFmt formatCode="General" sourceLinked="1"/>
        <c:tickLblPos val="nextTo"/>
        <c:spPr>
          <a:ln w="4650">
            <a:solidFill>
              <a:srgbClr val="000000"/>
            </a:solidFill>
            <a:prstDash val="solid"/>
          </a:ln>
        </c:spPr>
        <c:txPr>
          <a:bodyPr rot="0" vert="horz"/>
          <a:lstStyle/>
          <a:p>
            <a:pPr>
              <a:defRPr sz="1428" b="0" i="0" u="none" strike="noStrike" baseline="0">
                <a:solidFill>
                  <a:srgbClr val="000000"/>
                </a:solidFill>
                <a:latin typeface="Arial"/>
                <a:ea typeface="Arial"/>
                <a:cs typeface="Arial"/>
              </a:defRPr>
            </a:pPr>
            <a:endParaRPr lang="es-ES"/>
          </a:p>
        </c:txPr>
        <c:crossAx val="227653888"/>
        <c:crosses val="autoZero"/>
        <c:auto val="1"/>
        <c:lblAlgn val="ctr"/>
        <c:lblOffset val="100"/>
        <c:tickLblSkip val="1"/>
        <c:tickMarkSkip val="1"/>
      </c:catAx>
      <c:valAx>
        <c:axId val="227653888"/>
        <c:scaling>
          <c:orientation val="minMax"/>
          <c:max val="4200"/>
          <c:min val="0"/>
        </c:scaling>
        <c:axPos val="l"/>
        <c:majorGridlines>
          <c:spPr>
            <a:ln w="4650">
              <a:solidFill>
                <a:srgbClr val="000000"/>
              </a:solidFill>
              <a:prstDash val="solid"/>
            </a:ln>
          </c:spPr>
        </c:majorGridlines>
        <c:numFmt formatCode="#,##0" sourceLinked="1"/>
        <c:tickLblPos val="nextTo"/>
        <c:spPr>
          <a:ln w="4650">
            <a:solidFill>
              <a:srgbClr val="000000"/>
            </a:solidFill>
            <a:prstDash val="solid"/>
          </a:ln>
        </c:spPr>
        <c:txPr>
          <a:bodyPr rot="0" vert="horz"/>
          <a:lstStyle/>
          <a:p>
            <a:pPr>
              <a:defRPr sz="1428" b="0" i="0" u="none" strike="noStrike" baseline="0">
                <a:solidFill>
                  <a:srgbClr val="000000"/>
                </a:solidFill>
                <a:latin typeface="Arial"/>
                <a:ea typeface="Arial"/>
                <a:cs typeface="Arial"/>
              </a:defRPr>
            </a:pPr>
            <a:endParaRPr lang="es-ES"/>
          </a:p>
        </c:txPr>
        <c:crossAx val="227652352"/>
        <c:crosses val="autoZero"/>
        <c:crossBetween val="between"/>
      </c:valAx>
      <c:spPr>
        <a:solidFill>
          <a:srgbClr val="C0C0C0"/>
        </a:solidFill>
        <a:ln w="18598">
          <a:solidFill>
            <a:srgbClr val="808080"/>
          </a:solidFill>
          <a:prstDash val="solid"/>
        </a:ln>
      </c:spPr>
    </c:plotArea>
    <c:legend>
      <c:legendPos val="r"/>
      <c:layout>
        <c:manualLayout>
          <c:xMode val="edge"/>
          <c:yMode val="edge"/>
          <c:x val="0.13299232736572891"/>
          <c:y val="0.78899082568807388"/>
          <c:w val="0.75447570332480862"/>
          <c:h val="0.18807339449541294"/>
        </c:manualLayout>
      </c:layout>
      <c:spPr>
        <a:solidFill>
          <a:srgbClr val="FFFFFF"/>
        </a:solidFill>
        <a:ln w="37197">
          <a:noFill/>
        </a:ln>
      </c:spPr>
      <c:txPr>
        <a:bodyPr/>
        <a:lstStyle/>
        <a:p>
          <a:pPr>
            <a:defRPr sz="107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a:noFill/>
    </a:ln>
  </c:spPr>
  <c:txPr>
    <a:bodyPr/>
    <a:lstStyle/>
    <a:p>
      <a:pPr>
        <a:defRPr sz="1721"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126491646778043"/>
          <c:y val="5.1401869158878497E-2"/>
          <c:w val="0.84486873508353244"/>
          <c:h val="0.59813084112149528"/>
        </c:manualLayout>
      </c:layout>
      <c:barChart>
        <c:barDir val="col"/>
        <c:grouping val="clustered"/>
        <c:ser>
          <c:idx val="0"/>
          <c:order val="0"/>
          <c:tx>
            <c:strRef>
              <c:f>Hoja1!$A$3</c:f>
              <c:strCache>
                <c:ptCount val="1"/>
                <c:pt idx="0">
                  <c:v>Taiwan</c:v>
                </c:pt>
              </c:strCache>
            </c:strRef>
          </c:tx>
          <c:spPr>
            <a:solidFill>
              <a:srgbClr val="9999FF"/>
            </a:solidFill>
            <a:ln w="20019">
              <a:solidFill>
                <a:srgbClr val="000000"/>
              </a:solidFill>
              <a:prstDash val="solid"/>
            </a:ln>
          </c:spPr>
          <c:cat>
            <c:numRef>
              <c:f>Hoja1!$B$2:$F$2</c:f>
              <c:numCache>
                <c:formatCode>General</c:formatCode>
                <c:ptCount val="5"/>
                <c:pt idx="0">
                  <c:v>1986</c:v>
                </c:pt>
                <c:pt idx="1">
                  <c:v>1991</c:v>
                </c:pt>
                <c:pt idx="2">
                  <c:v>1996</c:v>
                </c:pt>
                <c:pt idx="3">
                  <c:v>1999</c:v>
                </c:pt>
                <c:pt idx="4">
                  <c:v>2002</c:v>
                </c:pt>
              </c:numCache>
            </c:numRef>
          </c:cat>
          <c:val>
            <c:numRef>
              <c:f>Hoja1!$B$3:$F$3</c:f>
              <c:numCache>
                <c:formatCode>#,##0</c:formatCode>
                <c:ptCount val="5"/>
                <c:pt idx="0">
                  <c:v>235</c:v>
                </c:pt>
                <c:pt idx="1">
                  <c:v>346</c:v>
                </c:pt>
                <c:pt idx="2">
                  <c:v>1070</c:v>
                </c:pt>
                <c:pt idx="3">
                  <c:v>1190</c:v>
                </c:pt>
                <c:pt idx="4">
                  <c:v>1048</c:v>
                </c:pt>
              </c:numCache>
            </c:numRef>
          </c:val>
        </c:ser>
        <c:ser>
          <c:idx val="1"/>
          <c:order val="1"/>
          <c:tx>
            <c:strRef>
              <c:f>Hoja1!$A$4</c:f>
              <c:strCache>
                <c:ptCount val="1"/>
                <c:pt idx="0">
                  <c:v>España</c:v>
                </c:pt>
              </c:strCache>
            </c:strRef>
          </c:tx>
          <c:spPr>
            <a:solidFill>
              <a:srgbClr val="993366"/>
            </a:solidFill>
            <a:ln w="20019">
              <a:solidFill>
                <a:srgbClr val="000000"/>
              </a:solidFill>
              <a:prstDash val="solid"/>
            </a:ln>
          </c:spPr>
          <c:cat>
            <c:numRef>
              <c:f>Hoja1!$B$2:$F$2</c:f>
              <c:numCache>
                <c:formatCode>General</c:formatCode>
                <c:ptCount val="5"/>
                <c:pt idx="0">
                  <c:v>1986</c:v>
                </c:pt>
                <c:pt idx="1">
                  <c:v>1991</c:v>
                </c:pt>
                <c:pt idx="2">
                  <c:v>1996</c:v>
                </c:pt>
                <c:pt idx="3">
                  <c:v>1999</c:v>
                </c:pt>
                <c:pt idx="4">
                  <c:v>2002</c:v>
                </c:pt>
              </c:numCache>
            </c:numRef>
          </c:cat>
          <c:val>
            <c:numRef>
              <c:f>Hoja1!$B$4:$F$4</c:f>
              <c:numCache>
                <c:formatCode>General</c:formatCode>
                <c:ptCount val="5"/>
                <c:pt idx="0">
                  <c:v>57</c:v>
                </c:pt>
                <c:pt idx="1">
                  <c:v>122</c:v>
                </c:pt>
                <c:pt idx="2">
                  <c:v>155</c:v>
                </c:pt>
                <c:pt idx="3">
                  <c:v>260</c:v>
                </c:pt>
                <c:pt idx="4" formatCode="#,##0">
                  <c:v>282</c:v>
                </c:pt>
              </c:numCache>
            </c:numRef>
          </c:val>
        </c:ser>
        <c:ser>
          <c:idx val="2"/>
          <c:order val="2"/>
          <c:tx>
            <c:strRef>
              <c:f>Hoja1!$A$5</c:f>
              <c:strCache>
                <c:ptCount val="1"/>
                <c:pt idx="0">
                  <c:v>Corea del Sur</c:v>
                </c:pt>
              </c:strCache>
            </c:strRef>
          </c:tx>
          <c:spPr>
            <a:solidFill>
              <a:srgbClr val="FFFFCC"/>
            </a:solidFill>
            <a:ln w="20019">
              <a:solidFill>
                <a:srgbClr val="000000"/>
              </a:solidFill>
              <a:prstDash val="solid"/>
            </a:ln>
          </c:spPr>
          <c:cat>
            <c:numRef>
              <c:f>Hoja1!$B$2:$F$2</c:f>
              <c:numCache>
                <c:formatCode>General</c:formatCode>
                <c:ptCount val="5"/>
                <c:pt idx="0">
                  <c:v>1986</c:v>
                </c:pt>
                <c:pt idx="1">
                  <c:v>1991</c:v>
                </c:pt>
                <c:pt idx="2">
                  <c:v>1996</c:v>
                </c:pt>
                <c:pt idx="3">
                  <c:v>1999</c:v>
                </c:pt>
                <c:pt idx="4">
                  <c:v>2002</c:v>
                </c:pt>
              </c:numCache>
            </c:numRef>
          </c:cat>
          <c:val>
            <c:numRef>
              <c:f>Hoja1!$B$5:$F$5</c:f>
              <c:numCache>
                <c:formatCode>General</c:formatCode>
                <c:ptCount val="5"/>
                <c:pt idx="0">
                  <c:v>201</c:v>
                </c:pt>
                <c:pt idx="1">
                  <c:v>313</c:v>
                </c:pt>
                <c:pt idx="2">
                  <c:v>312</c:v>
                </c:pt>
                <c:pt idx="3">
                  <c:v>291</c:v>
                </c:pt>
                <c:pt idx="4">
                  <c:v>268</c:v>
                </c:pt>
              </c:numCache>
            </c:numRef>
          </c:val>
        </c:ser>
        <c:ser>
          <c:idx val="3"/>
          <c:order val="3"/>
          <c:tx>
            <c:strRef>
              <c:f>Hoja1!$A$6</c:f>
              <c:strCache>
                <c:ptCount val="1"/>
                <c:pt idx="0">
                  <c:v>Australia</c:v>
                </c:pt>
              </c:strCache>
            </c:strRef>
          </c:tx>
          <c:spPr>
            <a:solidFill>
              <a:srgbClr val="CCFFFF"/>
            </a:solidFill>
            <a:ln w="20019">
              <a:solidFill>
                <a:srgbClr val="000000"/>
              </a:solidFill>
              <a:prstDash val="solid"/>
            </a:ln>
          </c:spPr>
          <c:cat>
            <c:numRef>
              <c:f>Hoja1!$B$2:$F$2</c:f>
              <c:numCache>
                <c:formatCode>General</c:formatCode>
                <c:ptCount val="5"/>
                <c:pt idx="0">
                  <c:v>1986</c:v>
                </c:pt>
                <c:pt idx="1">
                  <c:v>1991</c:v>
                </c:pt>
                <c:pt idx="2">
                  <c:v>1996</c:v>
                </c:pt>
                <c:pt idx="3">
                  <c:v>1999</c:v>
                </c:pt>
                <c:pt idx="4">
                  <c:v>2002</c:v>
                </c:pt>
              </c:numCache>
            </c:numRef>
          </c:cat>
          <c:val>
            <c:numRef>
              <c:f>Hoja1!$B$6:$F$6</c:f>
              <c:numCache>
                <c:formatCode>General</c:formatCode>
                <c:ptCount val="5"/>
                <c:pt idx="0">
                  <c:v>2</c:v>
                </c:pt>
                <c:pt idx="1">
                  <c:v>3</c:v>
                </c:pt>
                <c:pt idx="2">
                  <c:v>27</c:v>
                </c:pt>
                <c:pt idx="3">
                  <c:v>115</c:v>
                </c:pt>
                <c:pt idx="4">
                  <c:v>192</c:v>
                </c:pt>
              </c:numCache>
            </c:numRef>
          </c:val>
        </c:ser>
        <c:ser>
          <c:idx val="4"/>
          <c:order val="4"/>
          <c:tx>
            <c:strRef>
              <c:f>Hoja1!$A$7</c:f>
              <c:strCache>
                <c:ptCount val="1"/>
                <c:pt idx="0">
                  <c:v>Francia</c:v>
                </c:pt>
              </c:strCache>
            </c:strRef>
          </c:tx>
          <c:spPr>
            <a:solidFill>
              <a:srgbClr val="660066"/>
            </a:solidFill>
            <a:ln w="20019">
              <a:solidFill>
                <a:srgbClr val="000000"/>
              </a:solidFill>
              <a:prstDash val="solid"/>
            </a:ln>
          </c:spPr>
          <c:cat>
            <c:numRef>
              <c:f>Hoja1!$B$2:$F$2</c:f>
              <c:numCache>
                <c:formatCode>General</c:formatCode>
                <c:ptCount val="5"/>
                <c:pt idx="0">
                  <c:v>1986</c:v>
                </c:pt>
                <c:pt idx="1">
                  <c:v>1991</c:v>
                </c:pt>
                <c:pt idx="2">
                  <c:v>1996</c:v>
                </c:pt>
                <c:pt idx="3">
                  <c:v>1999</c:v>
                </c:pt>
                <c:pt idx="4">
                  <c:v>2002</c:v>
                </c:pt>
              </c:numCache>
            </c:numRef>
          </c:cat>
          <c:val>
            <c:numRef>
              <c:f>Hoja1!$B$7:$F$7</c:f>
              <c:numCache>
                <c:formatCode>General</c:formatCode>
                <c:ptCount val="5"/>
                <c:pt idx="0">
                  <c:v>61</c:v>
                </c:pt>
                <c:pt idx="1">
                  <c:v>103</c:v>
                </c:pt>
                <c:pt idx="2">
                  <c:v>151</c:v>
                </c:pt>
                <c:pt idx="3">
                  <c:v>121</c:v>
                </c:pt>
                <c:pt idx="4">
                  <c:v>152</c:v>
                </c:pt>
              </c:numCache>
            </c:numRef>
          </c:val>
        </c:ser>
        <c:ser>
          <c:idx val="5"/>
          <c:order val="5"/>
          <c:tx>
            <c:strRef>
              <c:f>Hoja1!$A$8</c:f>
              <c:strCache>
                <c:ptCount val="1"/>
                <c:pt idx="0">
                  <c:v>TOTAL</c:v>
                </c:pt>
              </c:strCache>
            </c:strRef>
          </c:tx>
          <c:spPr>
            <a:solidFill>
              <a:srgbClr val="FF8080"/>
            </a:solidFill>
            <a:ln w="20019">
              <a:solidFill>
                <a:srgbClr val="000000"/>
              </a:solidFill>
              <a:prstDash val="solid"/>
            </a:ln>
          </c:spPr>
          <c:cat>
            <c:numRef>
              <c:f>Hoja1!$B$2:$F$2</c:f>
              <c:numCache>
                <c:formatCode>General</c:formatCode>
                <c:ptCount val="5"/>
                <c:pt idx="0">
                  <c:v>1986</c:v>
                </c:pt>
                <c:pt idx="1">
                  <c:v>1991</c:v>
                </c:pt>
                <c:pt idx="2">
                  <c:v>1996</c:v>
                </c:pt>
                <c:pt idx="3">
                  <c:v>1999</c:v>
                </c:pt>
                <c:pt idx="4">
                  <c:v>2002</c:v>
                </c:pt>
              </c:numCache>
            </c:numRef>
          </c:cat>
          <c:val>
            <c:numRef>
              <c:f>Hoja1!$B$8:$F$8</c:f>
              <c:numCache>
                <c:formatCode>#,##0</c:formatCode>
                <c:ptCount val="5"/>
                <c:pt idx="0">
                  <c:v>896</c:v>
                </c:pt>
                <c:pt idx="1">
                  <c:v>1503</c:v>
                </c:pt>
                <c:pt idx="2">
                  <c:v>2471</c:v>
                </c:pt>
                <c:pt idx="3">
                  <c:v>2926</c:v>
                </c:pt>
                <c:pt idx="4">
                  <c:v>2981</c:v>
                </c:pt>
              </c:numCache>
            </c:numRef>
          </c:val>
        </c:ser>
        <c:axId val="227677696"/>
        <c:axId val="227679232"/>
      </c:barChart>
      <c:catAx>
        <c:axId val="227677696"/>
        <c:scaling>
          <c:orientation val="minMax"/>
        </c:scaling>
        <c:axPos val="b"/>
        <c:numFmt formatCode="General" sourceLinked="1"/>
        <c:tickLblPos val="nextTo"/>
        <c:spPr>
          <a:ln w="5005">
            <a:solidFill>
              <a:srgbClr val="000000"/>
            </a:solidFill>
            <a:prstDash val="solid"/>
          </a:ln>
        </c:spPr>
        <c:txPr>
          <a:bodyPr rot="0" vert="horz"/>
          <a:lstStyle/>
          <a:p>
            <a:pPr>
              <a:defRPr sz="1576" b="0" i="0" u="none" strike="noStrike" baseline="0">
                <a:solidFill>
                  <a:srgbClr val="000000"/>
                </a:solidFill>
                <a:latin typeface="Arial"/>
                <a:ea typeface="Arial"/>
                <a:cs typeface="Arial"/>
              </a:defRPr>
            </a:pPr>
            <a:endParaRPr lang="es-ES"/>
          </a:p>
        </c:txPr>
        <c:crossAx val="227679232"/>
        <c:crosses val="autoZero"/>
        <c:auto val="1"/>
        <c:lblAlgn val="ctr"/>
        <c:lblOffset val="100"/>
        <c:tickLblSkip val="1"/>
        <c:tickMarkSkip val="1"/>
      </c:catAx>
      <c:valAx>
        <c:axId val="227679232"/>
        <c:scaling>
          <c:orientation val="minMax"/>
          <c:max val="3200"/>
          <c:min val="0"/>
        </c:scaling>
        <c:axPos val="l"/>
        <c:majorGridlines>
          <c:spPr>
            <a:ln w="5005">
              <a:solidFill>
                <a:srgbClr val="000000"/>
              </a:solidFill>
              <a:prstDash val="solid"/>
            </a:ln>
          </c:spPr>
        </c:majorGridlines>
        <c:numFmt formatCode="#,##0" sourceLinked="1"/>
        <c:tickLblPos val="nextTo"/>
        <c:spPr>
          <a:ln w="5005">
            <a:solidFill>
              <a:srgbClr val="000000"/>
            </a:solidFill>
            <a:prstDash val="solid"/>
          </a:ln>
        </c:spPr>
        <c:txPr>
          <a:bodyPr rot="0" vert="horz"/>
          <a:lstStyle/>
          <a:p>
            <a:pPr>
              <a:defRPr sz="1576" b="0" i="0" u="none" strike="noStrike" baseline="0">
                <a:solidFill>
                  <a:srgbClr val="000000"/>
                </a:solidFill>
                <a:latin typeface="Arial"/>
                <a:ea typeface="Arial"/>
                <a:cs typeface="Arial"/>
              </a:defRPr>
            </a:pPr>
            <a:endParaRPr lang="es-ES"/>
          </a:p>
        </c:txPr>
        <c:crossAx val="227677696"/>
        <c:crosses val="autoZero"/>
        <c:crossBetween val="between"/>
      </c:valAx>
      <c:spPr>
        <a:solidFill>
          <a:srgbClr val="C0C0C0"/>
        </a:solidFill>
        <a:ln w="20019">
          <a:solidFill>
            <a:srgbClr val="808080"/>
          </a:solidFill>
          <a:prstDash val="solid"/>
        </a:ln>
      </c:spPr>
    </c:plotArea>
    <c:legend>
      <c:legendPos val="r"/>
      <c:layout>
        <c:manualLayout>
          <c:xMode val="edge"/>
          <c:yMode val="edge"/>
          <c:x val="4.0572792362768485E-2"/>
          <c:y val="0.84112149532710301"/>
          <c:w val="0.95942720763723155"/>
          <c:h val="0.10280373831775701"/>
        </c:manualLayout>
      </c:layout>
      <c:spPr>
        <a:solidFill>
          <a:srgbClr val="FFFFFF"/>
        </a:solidFill>
        <a:ln w="40039">
          <a:noFill/>
        </a:ln>
      </c:spPr>
      <c:txPr>
        <a:bodyPr/>
        <a:lstStyle/>
        <a:p>
          <a:pPr>
            <a:defRPr sz="145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a:noFill/>
    </a:ln>
  </c:spPr>
  <c:txPr>
    <a:bodyPr/>
    <a:lstStyle/>
    <a:p>
      <a:pPr>
        <a:defRPr sz="1813"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451977401129948"/>
          <c:y val="5.4945054945054944E-2"/>
          <c:w val="0.8672316384180796"/>
          <c:h val="0.75824175824175843"/>
        </c:manualLayout>
      </c:layout>
      <c:barChart>
        <c:barDir val="col"/>
        <c:grouping val="clustered"/>
        <c:ser>
          <c:idx val="0"/>
          <c:order val="0"/>
          <c:spPr>
            <a:solidFill>
              <a:srgbClr val="9999FF"/>
            </a:solidFill>
            <a:ln w="17120">
              <a:solidFill>
                <a:srgbClr val="000000"/>
              </a:solidFill>
              <a:prstDash val="solid"/>
            </a:ln>
          </c:spPr>
          <c:cat>
            <c:numRef>
              <c:f>'[1]Produccion 1000 MT'!$A$6:$A$18</c:f>
              <c:numCache>
                <c:formatCode>General</c:formatCode>
                <c:ptCount val="1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numCache>
            </c:numRef>
          </c:cat>
          <c:val>
            <c:numRef>
              <c:f>'[1]Produccion 1000 MT'!$H$6:$H$18</c:f>
              <c:numCache>
                <c:formatCode>General</c:formatCode>
                <c:ptCount val="13"/>
                <c:pt idx="0">
                  <c:v>1063</c:v>
                </c:pt>
                <c:pt idx="1">
                  <c:v>1205</c:v>
                </c:pt>
                <c:pt idx="2">
                  <c:v>1175</c:v>
                </c:pt>
                <c:pt idx="3">
                  <c:v>1156</c:v>
                </c:pt>
                <c:pt idx="4">
                  <c:v>1235</c:v>
                </c:pt>
                <c:pt idx="5">
                  <c:v>1260</c:v>
                </c:pt>
                <c:pt idx="6">
                  <c:v>1251</c:v>
                </c:pt>
                <c:pt idx="7">
                  <c:v>1251</c:v>
                </c:pt>
                <c:pt idx="8">
                  <c:v>1391</c:v>
                </c:pt>
                <c:pt idx="9">
                  <c:v>1392</c:v>
                </c:pt>
                <c:pt idx="10">
                  <c:v>1387</c:v>
                </c:pt>
                <c:pt idx="11">
                  <c:v>1374.7</c:v>
                </c:pt>
                <c:pt idx="12">
                  <c:v>1550.7</c:v>
                </c:pt>
              </c:numCache>
            </c:numRef>
          </c:val>
        </c:ser>
        <c:gapWidth val="100"/>
        <c:axId val="227731712"/>
        <c:axId val="227733504"/>
      </c:barChart>
      <c:catAx>
        <c:axId val="227731712"/>
        <c:scaling>
          <c:orientation val="minMax"/>
        </c:scaling>
        <c:axPos val="b"/>
        <c:numFmt formatCode="General" sourceLinked="1"/>
        <c:tickLblPos val="nextTo"/>
        <c:spPr>
          <a:ln w="4280">
            <a:solidFill>
              <a:srgbClr val="000000"/>
            </a:solidFill>
            <a:prstDash val="solid"/>
          </a:ln>
        </c:spPr>
        <c:txPr>
          <a:bodyPr rot="-5400000" vert="horz"/>
          <a:lstStyle/>
          <a:p>
            <a:pPr>
              <a:defRPr sz="1146" b="0" i="0" u="none" strike="noStrike" baseline="0">
                <a:solidFill>
                  <a:srgbClr val="000000"/>
                </a:solidFill>
                <a:latin typeface="Arial"/>
                <a:ea typeface="Arial"/>
                <a:cs typeface="Arial"/>
              </a:defRPr>
            </a:pPr>
            <a:endParaRPr lang="es-ES"/>
          </a:p>
        </c:txPr>
        <c:crossAx val="227733504"/>
        <c:crosses val="autoZero"/>
        <c:auto val="1"/>
        <c:lblAlgn val="ctr"/>
        <c:lblOffset val="100"/>
        <c:tickLblSkip val="1"/>
        <c:tickMarkSkip val="1"/>
      </c:catAx>
      <c:valAx>
        <c:axId val="227733504"/>
        <c:scaling>
          <c:orientation val="minMax"/>
          <c:max val="1750"/>
          <c:min val="0"/>
        </c:scaling>
        <c:axPos val="l"/>
        <c:majorGridlines>
          <c:spPr>
            <a:ln w="4280">
              <a:solidFill>
                <a:srgbClr val="000000"/>
              </a:solidFill>
              <a:prstDash val="solid"/>
            </a:ln>
          </c:spPr>
        </c:majorGridlines>
        <c:numFmt formatCode="#,##0" sourceLinked="0"/>
        <c:tickLblPos val="nextTo"/>
        <c:spPr>
          <a:ln w="4280">
            <a:solidFill>
              <a:srgbClr val="000000"/>
            </a:solidFill>
            <a:prstDash val="solid"/>
          </a:ln>
        </c:spPr>
        <c:txPr>
          <a:bodyPr rot="0" vert="horz"/>
          <a:lstStyle/>
          <a:p>
            <a:pPr>
              <a:defRPr sz="1146" b="0" i="0" u="none" strike="noStrike" baseline="0">
                <a:solidFill>
                  <a:srgbClr val="000000"/>
                </a:solidFill>
                <a:latin typeface="Arial"/>
                <a:ea typeface="Arial"/>
                <a:cs typeface="Arial"/>
              </a:defRPr>
            </a:pPr>
            <a:endParaRPr lang="es-ES"/>
          </a:p>
        </c:txPr>
        <c:crossAx val="227731712"/>
        <c:crosses val="autoZero"/>
        <c:crossBetween val="between"/>
        <c:majorUnit val="500"/>
      </c:valAx>
      <c:spPr>
        <a:solidFill>
          <a:srgbClr val="C0C0C0"/>
        </a:solidFill>
        <a:ln w="17120">
          <a:solidFill>
            <a:srgbClr val="808080"/>
          </a:solidFill>
          <a:prstDash val="solid"/>
        </a:ln>
      </c:spPr>
    </c:plotArea>
    <c:plotVisOnly val="1"/>
    <c:dispBlanksAs val="gap"/>
  </c:chart>
  <c:spPr>
    <a:solidFill>
      <a:srgbClr val="FFFFFF"/>
    </a:solidFill>
    <a:ln>
      <a:noFill/>
    </a:ln>
  </c:spPr>
  <c:txPr>
    <a:bodyPr/>
    <a:lstStyle/>
    <a:p>
      <a:pPr>
        <a:defRPr sz="1146"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526315789473686"/>
          <c:y val="5.5837563451776678E-2"/>
          <c:w val="0.86842105263157965"/>
          <c:h val="0.74111675126903553"/>
        </c:manualLayout>
      </c:layout>
      <c:barChart>
        <c:barDir val="col"/>
        <c:grouping val="clustered"/>
        <c:ser>
          <c:idx val="0"/>
          <c:order val="0"/>
          <c:spPr>
            <a:solidFill>
              <a:srgbClr val="9999FF"/>
            </a:solidFill>
            <a:ln w="17155">
              <a:solidFill>
                <a:srgbClr val="000000"/>
              </a:solidFill>
              <a:prstDash val="solid"/>
            </a:ln>
          </c:spPr>
          <c:cat>
            <c:numRef>
              <c:f>'[1]Millones US$'!$A$6:$A$18</c:f>
              <c:numCache>
                <c:formatCode>General</c:formatCode>
                <c:ptCount val="1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numCache>
            </c:numRef>
          </c:cat>
          <c:val>
            <c:numRef>
              <c:f>'[1]Millones US$'!$H$6:$H$18</c:f>
              <c:numCache>
                <c:formatCode>General</c:formatCode>
                <c:ptCount val="13"/>
                <c:pt idx="0">
                  <c:v>1143</c:v>
                </c:pt>
                <c:pt idx="1">
                  <c:v>1377</c:v>
                </c:pt>
                <c:pt idx="2">
                  <c:v>1191</c:v>
                </c:pt>
                <c:pt idx="3">
                  <c:v>1226</c:v>
                </c:pt>
                <c:pt idx="4">
                  <c:v>1518</c:v>
                </c:pt>
                <c:pt idx="5">
                  <c:v>1718</c:v>
                </c:pt>
                <c:pt idx="6">
                  <c:v>1782</c:v>
                </c:pt>
                <c:pt idx="7">
                  <c:v>1911</c:v>
                </c:pt>
                <c:pt idx="8">
                  <c:v>2209</c:v>
                </c:pt>
                <c:pt idx="9">
                  <c:v>1890</c:v>
                </c:pt>
                <c:pt idx="10">
                  <c:v>1702</c:v>
                </c:pt>
                <c:pt idx="11">
                  <c:v>1745</c:v>
                </c:pt>
                <c:pt idx="12">
                  <c:v>2029</c:v>
                </c:pt>
              </c:numCache>
            </c:numRef>
          </c:val>
        </c:ser>
        <c:gapWidth val="100"/>
        <c:axId val="221010560"/>
        <c:axId val="227611008"/>
      </c:barChart>
      <c:catAx>
        <c:axId val="221010560"/>
        <c:scaling>
          <c:orientation val="minMax"/>
        </c:scaling>
        <c:axPos val="b"/>
        <c:numFmt formatCode="General" sourceLinked="1"/>
        <c:tickLblPos val="nextTo"/>
        <c:spPr>
          <a:ln w="4289">
            <a:solidFill>
              <a:srgbClr val="000000"/>
            </a:solidFill>
            <a:prstDash val="solid"/>
          </a:ln>
        </c:spPr>
        <c:txPr>
          <a:bodyPr rot="-5400000" vert="horz"/>
          <a:lstStyle/>
          <a:p>
            <a:pPr>
              <a:defRPr sz="1249" b="0" i="0" u="none" strike="noStrike" baseline="0">
                <a:solidFill>
                  <a:srgbClr val="000000"/>
                </a:solidFill>
                <a:latin typeface="Arial"/>
                <a:ea typeface="Arial"/>
                <a:cs typeface="Arial"/>
              </a:defRPr>
            </a:pPr>
            <a:endParaRPr lang="es-ES"/>
          </a:p>
        </c:txPr>
        <c:crossAx val="227611008"/>
        <c:crosses val="autoZero"/>
        <c:auto val="1"/>
        <c:lblAlgn val="ctr"/>
        <c:lblOffset val="100"/>
        <c:tickLblSkip val="1"/>
        <c:tickMarkSkip val="1"/>
      </c:catAx>
      <c:valAx>
        <c:axId val="227611008"/>
        <c:scaling>
          <c:orientation val="minMax"/>
        </c:scaling>
        <c:axPos val="l"/>
        <c:majorGridlines>
          <c:spPr>
            <a:ln w="4289">
              <a:solidFill>
                <a:srgbClr val="000000"/>
              </a:solidFill>
              <a:prstDash val="solid"/>
            </a:ln>
          </c:spPr>
        </c:majorGridlines>
        <c:numFmt formatCode="General" sourceLinked="1"/>
        <c:tickLblPos val="nextTo"/>
        <c:spPr>
          <a:ln w="4289">
            <a:solidFill>
              <a:srgbClr val="000000"/>
            </a:solidFill>
            <a:prstDash val="solid"/>
          </a:ln>
        </c:spPr>
        <c:txPr>
          <a:bodyPr rot="0" vert="horz"/>
          <a:lstStyle/>
          <a:p>
            <a:pPr>
              <a:defRPr sz="1249" b="0" i="0" u="none" strike="noStrike" baseline="0">
                <a:solidFill>
                  <a:srgbClr val="000000"/>
                </a:solidFill>
                <a:latin typeface="Arial"/>
                <a:ea typeface="Arial"/>
                <a:cs typeface="Arial"/>
              </a:defRPr>
            </a:pPr>
            <a:endParaRPr lang="es-ES"/>
          </a:p>
        </c:txPr>
        <c:crossAx val="221010560"/>
        <c:crosses val="autoZero"/>
        <c:crossBetween val="between"/>
      </c:valAx>
      <c:spPr>
        <a:solidFill>
          <a:srgbClr val="C0C0C0"/>
        </a:solidFill>
        <a:ln w="17155">
          <a:solidFill>
            <a:srgbClr val="808080"/>
          </a:solidFill>
          <a:prstDash val="solid"/>
        </a:ln>
      </c:spPr>
    </c:plotArea>
    <c:plotVisOnly val="1"/>
    <c:dispBlanksAs val="gap"/>
  </c:chart>
  <c:spPr>
    <a:solidFill>
      <a:srgbClr val="FFFFFF"/>
    </a:solidFill>
    <a:ln>
      <a:noFill/>
    </a:ln>
  </c:spPr>
  <c:txPr>
    <a:bodyPr/>
    <a:lstStyle/>
    <a:p>
      <a:pPr>
        <a:defRPr sz="1249"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702623906705541"/>
          <c:y val="5.7471264367816105E-2"/>
          <c:w val="0.83090379008746351"/>
          <c:h val="0.6896551724137937"/>
        </c:manualLayout>
      </c:layout>
      <c:barChart>
        <c:barDir val="col"/>
        <c:grouping val="clustered"/>
        <c:ser>
          <c:idx val="0"/>
          <c:order val="0"/>
          <c:tx>
            <c:strRef>
              <c:f>Hoja1!$A$3</c:f>
              <c:strCache>
                <c:ptCount val="1"/>
                <c:pt idx="0">
                  <c:v>Thailandia</c:v>
                </c:pt>
              </c:strCache>
            </c:strRef>
          </c:tx>
          <c:spPr>
            <a:solidFill>
              <a:srgbClr val="9999FF"/>
            </a:solidFill>
            <a:ln w="17476">
              <a:solidFill>
                <a:srgbClr val="000000"/>
              </a:solidFill>
              <a:prstDash val="solid"/>
            </a:ln>
          </c:spPr>
          <c:cat>
            <c:numRef>
              <c:f>Hoja1!$B$2:$E$2</c:f>
              <c:numCache>
                <c:formatCode>General</c:formatCode>
                <c:ptCount val="4"/>
                <c:pt idx="0">
                  <c:v>1986</c:v>
                </c:pt>
                <c:pt idx="1">
                  <c:v>1991</c:v>
                </c:pt>
                <c:pt idx="2">
                  <c:v>1996</c:v>
                </c:pt>
                <c:pt idx="3">
                  <c:v>2002</c:v>
                </c:pt>
              </c:numCache>
            </c:numRef>
          </c:cat>
          <c:val>
            <c:numRef>
              <c:f>Hoja1!$B$3:$E$3</c:f>
              <c:numCache>
                <c:formatCode>#,##0</c:formatCode>
                <c:ptCount val="4"/>
                <c:pt idx="0">
                  <c:v>286</c:v>
                </c:pt>
                <c:pt idx="1">
                  <c:v>632</c:v>
                </c:pt>
                <c:pt idx="2">
                  <c:v>489</c:v>
                </c:pt>
                <c:pt idx="3">
                  <c:v>563</c:v>
                </c:pt>
              </c:numCache>
            </c:numRef>
          </c:val>
        </c:ser>
        <c:ser>
          <c:idx val="1"/>
          <c:order val="1"/>
          <c:tx>
            <c:strRef>
              <c:f>Hoja1!$A$4</c:f>
              <c:strCache>
                <c:ptCount val="1"/>
                <c:pt idx="0">
                  <c:v>España</c:v>
                </c:pt>
              </c:strCache>
            </c:strRef>
          </c:tx>
          <c:spPr>
            <a:solidFill>
              <a:srgbClr val="993366"/>
            </a:solidFill>
            <a:ln w="17476">
              <a:solidFill>
                <a:srgbClr val="000000"/>
              </a:solidFill>
              <a:prstDash val="solid"/>
            </a:ln>
          </c:spPr>
          <c:cat>
            <c:numRef>
              <c:f>Hoja1!$B$2:$E$2</c:f>
              <c:numCache>
                <c:formatCode>General</c:formatCode>
                <c:ptCount val="4"/>
                <c:pt idx="0">
                  <c:v>1986</c:v>
                </c:pt>
                <c:pt idx="1">
                  <c:v>1991</c:v>
                </c:pt>
                <c:pt idx="2">
                  <c:v>1996</c:v>
                </c:pt>
                <c:pt idx="3">
                  <c:v>2002</c:v>
                </c:pt>
              </c:numCache>
            </c:numRef>
          </c:cat>
          <c:val>
            <c:numRef>
              <c:f>Hoja1!$B$4:$E$4</c:f>
              <c:numCache>
                <c:formatCode>General</c:formatCode>
                <c:ptCount val="4"/>
                <c:pt idx="0">
                  <c:v>13</c:v>
                </c:pt>
                <c:pt idx="1">
                  <c:v>60</c:v>
                </c:pt>
                <c:pt idx="2">
                  <c:v>165</c:v>
                </c:pt>
                <c:pt idx="3" formatCode="#,##0">
                  <c:v>260</c:v>
                </c:pt>
              </c:numCache>
            </c:numRef>
          </c:val>
        </c:ser>
        <c:ser>
          <c:idx val="2"/>
          <c:order val="2"/>
          <c:tx>
            <c:strRef>
              <c:f>Hoja1!$A$5</c:f>
              <c:strCache>
                <c:ptCount val="1"/>
                <c:pt idx="0">
                  <c:v>Ecuador</c:v>
                </c:pt>
              </c:strCache>
            </c:strRef>
          </c:tx>
          <c:spPr>
            <a:solidFill>
              <a:srgbClr val="FFFFCC"/>
            </a:solidFill>
            <a:ln w="17476">
              <a:solidFill>
                <a:srgbClr val="000000"/>
              </a:solidFill>
              <a:prstDash val="solid"/>
            </a:ln>
          </c:spPr>
          <c:cat>
            <c:numRef>
              <c:f>Hoja1!$B$2:$E$2</c:f>
              <c:numCache>
                <c:formatCode>General</c:formatCode>
                <c:ptCount val="4"/>
                <c:pt idx="0">
                  <c:v>1986</c:v>
                </c:pt>
                <c:pt idx="1">
                  <c:v>1991</c:v>
                </c:pt>
                <c:pt idx="2">
                  <c:v>1996</c:v>
                </c:pt>
                <c:pt idx="3">
                  <c:v>2002</c:v>
                </c:pt>
              </c:numCache>
            </c:numRef>
          </c:cat>
          <c:val>
            <c:numRef>
              <c:f>Hoja1!$B$5:$E$5</c:f>
              <c:numCache>
                <c:formatCode>General</c:formatCode>
                <c:ptCount val="4"/>
                <c:pt idx="0">
                  <c:v>7</c:v>
                </c:pt>
                <c:pt idx="1">
                  <c:v>13</c:v>
                </c:pt>
                <c:pt idx="2">
                  <c:v>69</c:v>
                </c:pt>
                <c:pt idx="3">
                  <c:v>194.6</c:v>
                </c:pt>
              </c:numCache>
            </c:numRef>
          </c:val>
        </c:ser>
        <c:ser>
          <c:idx val="3"/>
          <c:order val="3"/>
          <c:tx>
            <c:strRef>
              <c:f>Hoja1!$A$6</c:f>
              <c:strCache>
                <c:ptCount val="1"/>
                <c:pt idx="0">
                  <c:v>Cote d' Ivoire</c:v>
                </c:pt>
              </c:strCache>
            </c:strRef>
          </c:tx>
          <c:spPr>
            <a:solidFill>
              <a:srgbClr val="CCFFFF"/>
            </a:solidFill>
            <a:ln w="17476">
              <a:solidFill>
                <a:srgbClr val="000000"/>
              </a:solidFill>
              <a:prstDash val="solid"/>
            </a:ln>
          </c:spPr>
          <c:cat>
            <c:numRef>
              <c:f>Hoja1!$B$2:$E$2</c:f>
              <c:numCache>
                <c:formatCode>General</c:formatCode>
                <c:ptCount val="4"/>
                <c:pt idx="0">
                  <c:v>1986</c:v>
                </c:pt>
                <c:pt idx="1">
                  <c:v>1991</c:v>
                </c:pt>
                <c:pt idx="2">
                  <c:v>1996</c:v>
                </c:pt>
                <c:pt idx="3">
                  <c:v>2002</c:v>
                </c:pt>
              </c:numCache>
            </c:numRef>
          </c:cat>
          <c:val>
            <c:numRef>
              <c:f>Hoja1!$B$6:$E$6</c:f>
              <c:numCache>
                <c:formatCode>General</c:formatCode>
                <c:ptCount val="4"/>
                <c:pt idx="0">
                  <c:v>0</c:v>
                </c:pt>
                <c:pt idx="1">
                  <c:v>12</c:v>
                </c:pt>
                <c:pt idx="2">
                  <c:v>34</c:v>
                </c:pt>
                <c:pt idx="3">
                  <c:v>136</c:v>
                </c:pt>
              </c:numCache>
            </c:numRef>
          </c:val>
        </c:ser>
        <c:ser>
          <c:idx val="4"/>
          <c:order val="4"/>
          <c:tx>
            <c:strRef>
              <c:f>Hoja1!$A$7</c:f>
              <c:strCache>
                <c:ptCount val="1"/>
                <c:pt idx="0">
                  <c:v>TOTAL</c:v>
                </c:pt>
              </c:strCache>
            </c:strRef>
          </c:tx>
          <c:spPr>
            <a:solidFill>
              <a:srgbClr val="660066"/>
            </a:solidFill>
            <a:ln w="17476">
              <a:solidFill>
                <a:srgbClr val="000000"/>
              </a:solidFill>
              <a:prstDash val="solid"/>
            </a:ln>
          </c:spPr>
          <c:cat>
            <c:numRef>
              <c:f>Hoja1!$B$2:$E$2</c:f>
              <c:numCache>
                <c:formatCode>General</c:formatCode>
                <c:ptCount val="4"/>
                <c:pt idx="0">
                  <c:v>1986</c:v>
                </c:pt>
                <c:pt idx="1">
                  <c:v>1991</c:v>
                </c:pt>
                <c:pt idx="2">
                  <c:v>1996</c:v>
                </c:pt>
                <c:pt idx="3">
                  <c:v>2002</c:v>
                </c:pt>
              </c:numCache>
            </c:numRef>
          </c:cat>
          <c:val>
            <c:numRef>
              <c:f>Hoja1!$B$7:$E$7</c:f>
              <c:numCache>
                <c:formatCode>General</c:formatCode>
                <c:ptCount val="4"/>
                <c:pt idx="0">
                  <c:v>729</c:v>
                </c:pt>
                <c:pt idx="1">
                  <c:v>1361</c:v>
                </c:pt>
                <c:pt idx="2">
                  <c:v>1773</c:v>
                </c:pt>
                <c:pt idx="3">
                  <c:v>1766</c:v>
                </c:pt>
              </c:numCache>
            </c:numRef>
          </c:val>
        </c:ser>
        <c:axId val="228100352"/>
        <c:axId val="228106240"/>
      </c:barChart>
      <c:catAx>
        <c:axId val="228100352"/>
        <c:scaling>
          <c:orientation val="minMax"/>
        </c:scaling>
        <c:axPos val="b"/>
        <c:numFmt formatCode="General" sourceLinked="1"/>
        <c:tickLblPos val="nextTo"/>
        <c:spPr>
          <a:ln w="4369">
            <a:solidFill>
              <a:srgbClr val="000000"/>
            </a:solidFill>
            <a:prstDash val="solid"/>
          </a:ln>
        </c:spPr>
        <c:txPr>
          <a:bodyPr rot="0" vert="horz"/>
          <a:lstStyle/>
          <a:p>
            <a:pPr>
              <a:defRPr sz="1170" b="0" i="0" u="none" strike="noStrike" baseline="0">
                <a:solidFill>
                  <a:srgbClr val="000000"/>
                </a:solidFill>
                <a:latin typeface="Arial"/>
                <a:ea typeface="Arial"/>
                <a:cs typeface="Arial"/>
              </a:defRPr>
            </a:pPr>
            <a:endParaRPr lang="es-ES"/>
          </a:p>
        </c:txPr>
        <c:crossAx val="228106240"/>
        <c:crosses val="autoZero"/>
        <c:auto val="1"/>
        <c:lblAlgn val="ctr"/>
        <c:lblOffset val="100"/>
        <c:tickLblSkip val="1"/>
        <c:tickMarkSkip val="1"/>
      </c:catAx>
      <c:valAx>
        <c:axId val="228106240"/>
        <c:scaling>
          <c:orientation val="minMax"/>
        </c:scaling>
        <c:axPos val="l"/>
        <c:majorGridlines>
          <c:spPr>
            <a:ln w="4369">
              <a:solidFill>
                <a:srgbClr val="000000"/>
              </a:solidFill>
              <a:prstDash val="solid"/>
            </a:ln>
          </c:spPr>
        </c:majorGridlines>
        <c:numFmt formatCode="#,##0" sourceLinked="1"/>
        <c:tickLblPos val="nextTo"/>
        <c:spPr>
          <a:ln w="4369">
            <a:solidFill>
              <a:srgbClr val="000000"/>
            </a:solidFill>
            <a:prstDash val="solid"/>
          </a:ln>
        </c:spPr>
        <c:txPr>
          <a:bodyPr rot="0" vert="horz"/>
          <a:lstStyle/>
          <a:p>
            <a:pPr>
              <a:defRPr sz="1170" b="0" i="0" u="none" strike="noStrike" baseline="0">
                <a:solidFill>
                  <a:srgbClr val="000000"/>
                </a:solidFill>
                <a:latin typeface="Arial"/>
                <a:ea typeface="Arial"/>
                <a:cs typeface="Arial"/>
              </a:defRPr>
            </a:pPr>
            <a:endParaRPr lang="es-ES"/>
          </a:p>
        </c:txPr>
        <c:crossAx val="228100352"/>
        <c:crosses val="autoZero"/>
        <c:crossBetween val="between"/>
      </c:valAx>
      <c:spPr>
        <a:solidFill>
          <a:srgbClr val="C0C0C0"/>
        </a:solidFill>
        <a:ln w="17476">
          <a:solidFill>
            <a:srgbClr val="808080"/>
          </a:solidFill>
          <a:prstDash val="solid"/>
        </a:ln>
      </c:spPr>
    </c:plotArea>
    <c:legend>
      <c:legendPos val="r"/>
      <c:layout>
        <c:manualLayout>
          <c:xMode val="edge"/>
          <c:yMode val="edge"/>
          <c:x val="8.1632653061224497E-2"/>
          <c:y val="0.88505747126436762"/>
          <c:w val="0.8688046647230323"/>
          <c:h val="0.11494252873563221"/>
        </c:manualLayout>
      </c:layout>
      <c:spPr>
        <a:solidFill>
          <a:srgbClr val="FFFFFF"/>
        </a:solidFill>
        <a:ln w="34952">
          <a:noFill/>
        </a:ln>
      </c:spPr>
      <c:txPr>
        <a:bodyPr/>
        <a:lstStyle/>
        <a:p>
          <a:pPr>
            <a:defRPr sz="103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a:noFill/>
    </a:ln>
  </c:spPr>
  <c:txPr>
    <a:bodyPr/>
    <a:lstStyle/>
    <a:p>
      <a:pPr>
        <a:defRPr sz="1273"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2121</Words>
  <Characters>11669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CAPÍTULO 1</vt:lpstr>
    </vt:vector>
  </TitlesOfParts>
  <Company> </Company>
  <LinksUpToDate>false</LinksUpToDate>
  <CharactersWithSpaces>13763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Usuario Windows 98</dc:creator>
  <cp:keywords/>
  <cp:lastModifiedBy>Ayudante</cp:lastModifiedBy>
  <cp:revision>2</cp:revision>
  <cp:lastPrinted>2005-01-28T13:45:00Z</cp:lastPrinted>
  <dcterms:created xsi:type="dcterms:W3CDTF">2009-06-24T18:00:00Z</dcterms:created>
  <dcterms:modified xsi:type="dcterms:W3CDTF">2009-06-24T18:00:00Z</dcterms:modified>
</cp:coreProperties>
</file>