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79A5">
      <w:pPr>
        <w:jc w:val="both"/>
        <w:rPr>
          <w:rFonts w:ascii="Times New Roman" w:hAnsi="Times New Roman"/>
          <w:vertAlign w:val="baseline"/>
        </w:rPr>
      </w:pPr>
      <w:r>
        <w:rPr>
          <w:rFonts w:ascii="Times New Roman" w:hAnsi="Times New Roman"/>
          <w:vertAlign w:val="baseline"/>
        </w:rPr>
        <w:t>Como podemos observar, con el transcurso del tiempo, la participación de los centros de salud ha ido aumentando, mientras que la participación de particulares y hospitales ha ido disminuyendo,  podemos alegar que se debe a la mejor participación de los cen</w:t>
      </w:r>
      <w:r>
        <w:rPr>
          <w:rFonts w:ascii="Times New Roman" w:hAnsi="Times New Roman"/>
          <w:vertAlign w:val="baseline"/>
        </w:rPr>
        <w:t xml:space="preserve">tros de salud, en hacer conscientizar a sus pacientes la importancia de seguir un tratamiento de salud.  También, podemos suponer a la mejor preparación del personal del centro de salud en brindar los servicios </w:t>
      </w:r>
      <w:r>
        <w:rPr>
          <w:rFonts w:ascii="Times New Roman" w:hAnsi="Times New Roman"/>
          <w:vertAlign w:val="baseline"/>
        </w:rPr>
        <w:lastRenderedPageBreak/>
        <w:t>requeridos, según los procedimientos del prog</w:t>
      </w:r>
      <w:r>
        <w:rPr>
          <w:rFonts w:ascii="Times New Roman" w:hAnsi="Times New Roman"/>
          <w:vertAlign w:val="baseline"/>
        </w:rPr>
        <w:t>rama.    Debemos señalar que los datos del año 2000, solo se ha procesado hasta el mes de septiembre.</w:t>
      </w:r>
    </w:p>
    <w:p w:rsidR="00000000" w:rsidRDefault="00F779A5">
      <w:pPr>
        <w:rPr>
          <w:rFonts w:ascii="Times New Roman" w:hAnsi="Times New Roman"/>
          <w:vertAlign w:val="baseline"/>
        </w:rPr>
      </w:pPr>
    </w:p>
    <w:p w:rsidR="00000000" w:rsidRDefault="00F779A5">
      <w:pPr>
        <w:rPr>
          <w:rFonts w:ascii="Times New Roman" w:hAnsi="Times New Roman"/>
          <w:vertAlign w:val="baseline"/>
        </w:rPr>
      </w:pPr>
      <w:r>
        <w:rPr>
          <w:rFonts w:ascii="Times New Roman" w:hAnsi="Times New Roman"/>
          <w:vertAlign w:val="baseline"/>
        </w:rPr>
        <w:t>5.3     Análisis de Secuencia</w:t>
      </w:r>
    </w:p>
    <w:p w:rsidR="00000000" w:rsidRDefault="00F779A5">
      <w:pPr>
        <w:rPr>
          <w:rFonts w:ascii="Times New Roman" w:hAnsi="Times New Roman"/>
          <w:vertAlign w:val="baseline"/>
        </w:rPr>
      </w:pPr>
    </w:p>
    <w:p w:rsidR="00000000" w:rsidRDefault="00F779A5">
      <w:pPr>
        <w:pStyle w:val="Textoindependiente2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Los gráficos de análisis de secuencia nos permite observar la tendencia de la información en el transcurso del tiempo.  Ta</w:t>
      </w:r>
      <w:r>
        <w:rPr>
          <w:rFonts w:ascii="Times New Roman" w:hAnsi="Times New Roman"/>
        </w:rPr>
        <w:t>mbién nos permite conocer las fluctuaciones que han ocurrido.</w:t>
      </w:r>
    </w:p>
    <w:p w:rsidR="00000000" w:rsidRDefault="00F779A5">
      <w:pPr>
        <w:rPr>
          <w:rFonts w:ascii="Times New Roman" w:hAnsi="Times New Roman"/>
          <w:vertAlign w:val="baseline"/>
        </w:rPr>
        <w:sectPr w:rsidR="00000000">
          <w:type w:val="continuous"/>
          <w:pgSz w:w="11906" w:h="16838"/>
          <w:pgMar w:top="1417" w:right="1701" w:bottom="1417" w:left="1701" w:header="720" w:footer="720" w:gutter="0"/>
          <w:cols w:num="2" w:space="720" w:equalWidth="0">
            <w:col w:w="3897" w:space="709"/>
            <w:col w:w="3897"/>
          </w:cols>
        </w:sectPr>
      </w:pPr>
    </w:p>
    <w:p w:rsidR="00000000" w:rsidRDefault="00F779A5">
      <w:pPr>
        <w:rPr>
          <w:rFonts w:ascii="Times New Roman" w:hAnsi="Times New Roman"/>
          <w:vertAlign w:val="baseli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9519C6">
            <w:pPr>
              <w:rPr>
                <w:rFonts w:ascii="Times New Roman" w:hAnsi="Times New Roman"/>
                <w:vertAlign w:val="baseline"/>
              </w:rPr>
            </w:pPr>
            <w:r>
              <w:rPr>
                <w:rFonts w:ascii="Times New Roman" w:hAnsi="Times New Roman"/>
                <w:noProof/>
                <w:vertAlign w:val="baseline"/>
              </w:rPr>
              <w:drawing>
                <wp:inline distT="0" distB="0" distL="0" distR="0">
                  <wp:extent cx="2654300" cy="1447800"/>
                  <wp:effectExtent l="0" t="0" r="0" b="0"/>
                  <wp:docPr id="1" name="Objet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F779A5">
            <w:pPr>
              <w:rPr>
                <w:rFonts w:ascii="Times New Roman" w:hAnsi="Times New Roman"/>
                <w:vertAlign w:val="baseline"/>
              </w:rPr>
            </w:pPr>
            <w:r>
              <w:rPr>
                <w:rFonts w:ascii="Times New Roman" w:hAnsi="Times New Roman"/>
                <w:vertAlign w:val="baseline"/>
              </w:rPr>
              <w:t xml:space="preserve">En este gráfico podemos observar que la tendencia de los datos es descendente, a pesar de observar ciertas fluctuaciones de repunte.  Esta tendencia descendente </w:t>
            </w:r>
            <w:r>
              <w:rPr>
                <w:rFonts w:ascii="Times New Roman" w:hAnsi="Times New Roman"/>
                <w:vertAlign w:val="baseline"/>
              </w:rPr>
              <w:t>esta dada de forma gradual.</w:t>
            </w:r>
          </w:p>
          <w:p w:rsidR="00000000" w:rsidRDefault="00F779A5">
            <w:pPr>
              <w:rPr>
                <w:rFonts w:ascii="Times New Roman" w:hAnsi="Times New Roman"/>
                <w:vertAlign w:val="baseline"/>
              </w:rPr>
            </w:pPr>
          </w:p>
        </w:tc>
      </w:tr>
    </w:tbl>
    <w:p w:rsidR="00000000" w:rsidRDefault="00F779A5">
      <w:pPr>
        <w:rPr>
          <w:rFonts w:ascii="Times New Roman" w:hAnsi="Times New Roman"/>
          <w:vertAlign w:val="baseli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9519C6">
            <w:pPr>
              <w:rPr>
                <w:rFonts w:ascii="Times New Roman" w:hAnsi="Times New Roman"/>
                <w:vertAlign w:val="baseline"/>
              </w:rPr>
            </w:pPr>
            <w:r>
              <w:rPr>
                <w:rFonts w:ascii="Times New Roman" w:hAnsi="Times New Roman"/>
                <w:noProof/>
                <w:vertAlign w:val="baseline"/>
              </w:rPr>
              <w:drawing>
                <wp:inline distT="0" distB="0" distL="0" distR="0">
                  <wp:extent cx="2654300" cy="1447800"/>
                  <wp:effectExtent l="0" t="0" r="0" b="0"/>
                  <wp:docPr id="2" name="Objet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F779A5">
            <w:pPr>
              <w:rPr>
                <w:rFonts w:ascii="Times New Roman" w:hAnsi="Times New Roman"/>
                <w:vertAlign w:val="baseline"/>
              </w:rPr>
            </w:pPr>
            <w:r>
              <w:rPr>
                <w:rFonts w:ascii="Times New Roman" w:hAnsi="Times New Roman"/>
                <w:vertAlign w:val="baseline"/>
              </w:rPr>
              <w:t xml:space="preserve">En este gráfico, se observa una tendencia de los datos de descenso, a pesar de existir fluctuaciones de crecimiento en el transcurso del tiempo.   Podemos decir que las personas que viven en la </w:t>
            </w:r>
            <w:r>
              <w:rPr>
                <w:rFonts w:ascii="Times New Roman" w:hAnsi="Times New Roman"/>
                <w:vertAlign w:val="baseline"/>
              </w:rPr>
              <w:t>ciudad están conscientes del cuidado de su salud.</w:t>
            </w:r>
          </w:p>
          <w:p w:rsidR="00000000" w:rsidRDefault="00F779A5">
            <w:pPr>
              <w:rPr>
                <w:rFonts w:ascii="Times New Roman" w:hAnsi="Times New Roman"/>
                <w:vertAlign w:val="baseline"/>
              </w:rPr>
            </w:pPr>
          </w:p>
        </w:tc>
      </w:tr>
    </w:tbl>
    <w:p w:rsidR="00000000" w:rsidRDefault="00F779A5">
      <w:pPr>
        <w:rPr>
          <w:rFonts w:ascii="Times New Roman" w:hAnsi="Times New Roman"/>
          <w:vertAlign w:val="baseli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9519C6">
            <w:pPr>
              <w:rPr>
                <w:rFonts w:ascii="Times New Roman" w:hAnsi="Times New Roman"/>
                <w:vertAlign w:val="baseline"/>
              </w:rPr>
            </w:pPr>
            <w:r>
              <w:rPr>
                <w:rFonts w:ascii="Times New Roman" w:hAnsi="Times New Roman"/>
                <w:noProof/>
                <w:vertAlign w:val="baseline"/>
              </w:rPr>
              <w:drawing>
                <wp:inline distT="0" distB="0" distL="0" distR="0">
                  <wp:extent cx="2654300" cy="1460500"/>
                  <wp:effectExtent l="0" t="0" r="0" b="0"/>
                  <wp:docPr id="3" name="Objeto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F779A5">
            <w:pPr>
              <w:rPr>
                <w:rFonts w:ascii="Times New Roman" w:hAnsi="Times New Roman"/>
                <w:vertAlign w:val="baseline"/>
              </w:rPr>
            </w:pPr>
            <w:r>
              <w:rPr>
                <w:rFonts w:ascii="Times New Roman" w:hAnsi="Times New Roman"/>
                <w:vertAlign w:val="baseline"/>
              </w:rPr>
              <w:t>En este gráfico se observa un comportamiento de crecimiento, debemos hacer hincapié que la información correspondiente al año 2000, solamente se recopilo hasta el mes de se</w:t>
            </w:r>
            <w:r>
              <w:rPr>
                <w:rFonts w:ascii="Times New Roman" w:hAnsi="Times New Roman"/>
                <w:vertAlign w:val="baseline"/>
              </w:rPr>
              <w:t xml:space="preserve">ptiembre.  Si sigue este comportamiento, la tendencia general es de crecimiento. </w:t>
            </w:r>
          </w:p>
          <w:p w:rsidR="00000000" w:rsidRDefault="00F779A5">
            <w:pPr>
              <w:rPr>
                <w:rFonts w:ascii="Times New Roman" w:hAnsi="Times New Roman"/>
                <w:vertAlign w:val="baseline"/>
              </w:rPr>
            </w:pPr>
          </w:p>
          <w:p w:rsidR="00000000" w:rsidRDefault="00F779A5">
            <w:pPr>
              <w:rPr>
                <w:rFonts w:ascii="Times New Roman" w:hAnsi="Times New Roman"/>
                <w:vertAlign w:val="baseline"/>
              </w:rPr>
            </w:pPr>
          </w:p>
        </w:tc>
      </w:tr>
    </w:tbl>
    <w:p w:rsidR="00000000" w:rsidRDefault="00F779A5">
      <w:pPr>
        <w:rPr>
          <w:rFonts w:ascii="Times New Roman" w:hAnsi="Times New Roman"/>
          <w:vertAlign w:val="baseli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9519C6">
            <w:pPr>
              <w:rPr>
                <w:rFonts w:ascii="Times New Roman" w:hAnsi="Times New Roman"/>
                <w:vertAlign w:val="baseline"/>
              </w:rPr>
            </w:pPr>
            <w:r>
              <w:rPr>
                <w:rFonts w:ascii="Times New Roman" w:hAnsi="Times New Roman"/>
                <w:noProof/>
                <w:vertAlign w:val="baseline"/>
              </w:rPr>
              <w:lastRenderedPageBreak/>
              <w:drawing>
                <wp:inline distT="0" distB="0" distL="0" distR="0">
                  <wp:extent cx="2654300" cy="1460500"/>
                  <wp:effectExtent l="0" t="0" r="0" b="0"/>
                  <wp:docPr id="4" name="Objeto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F779A5">
            <w:pPr>
              <w:rPr>
                <w:rFonts w:ascii="Times New Roman" w:hAnsi="Times New Roman"/>
                <w:vertAlign w:val="baseline"/>
              </w:rPr>
            </w:pPr>
            <w:r>
              <w:rPr>
                <w:rFonts w:ascii="Times New Roman" w:hAnsi="Times New Roman"/>
                <w:vertAlign w:val="baseline"/>
              </w:rPr>
              <w:t>En este gráfico se observa un comportamiento de crecimiento, debemos hacer hincapié que la información correspondiente al año 2000, solamen</w:t>
            </w:r>
            <w:r>
              <w:rPr>
                <w:rFonts w:ascii="Times New Roman" w:hAnsi="Times New Roman"/>
                <w:vertAlign w:val="baseline"/>
              </w:rPr>
              <w:t>te se recopilo hasta el mes de septiembre.  Si sigue este comportamiento, la tendencia general es de crecimiento.</w:t>
            </w:r>
          </w:p>
          <w:p w:rsidR="00000000" w:rsidRDefault="00F779A5">
            <w:pPr>
              <w:rPr>
                <w:rFonts w:ascii="Times New Roman" w:hAnsi="Times New Roman"/>
                <w:vertAlign w:val="baseline"/>
              </w:rPr>
            </w:pPr>
          </w:p>
        </w:tc>
      </w:tr>
    </w:tbl>
    <w:p w:rsidR="00000000" w:rsidRDefault="00F779A5">
      <w:pPr>
        <w:rPr>
          <w:rFonts w:ascii="Times New Roman" w:hAnsi="Times New Roman"/>
          <w:vertAlign w:val="baseline"/>
        </w:rPr>
      </w:pPr>
    </w:p>
    <w:p w:rsidR="00000000" w:rsidRDefault="00F779A5">
      <w:pPr>
        <w:rPr>
          <w:rFonts w:ascii="Times New Roman" w:hAnsi="Times New Roman"/>
          <w:vertAlign w:val="baseline"/>
        </w:rPr>
      </w:pPr>
    </w:p>
    <w:p w:rsidR="00000000" w:rsidRDefault="00F779A5">
      <w:pPr>
        <w:rPr>
          <w:rFonts w:ascii="Times New Roman" w:hAnsi="Times New Roman"/>
          <w:vertAlign w:val="baseline"/>
        </w:rPr>
      </w:pPr>
      <w:r>
        <w:rPr>
          <w:rFonts w:ascii="Times New Roman" w:hAnsi="Times New Roman"/>
          <w:vertAlign w:val="baseline"/>
        </w:rPr>
        <w:t>6. Análisis de la Matriz de Correlación</w:t>
      </w:r>
    </w:p>
    <w:p w:rsidR="00000000" w:rsidRDefault="00F779A5">
      <w:pPr>
        <w:rPr>
          <w:rFonts w:ascii="Times New Roman" w:hAnsi="Times New Roman"/>
          <w:vertAlign w:val="baseline"/>
        </w:rPr>
      </w:pPr>
    </w:p>
    <w:p w:rsidR="00000000" w:rsidRDefault="00F779A5">
      <w:pPr>
        <w:jc w:val="both"/>
        <w:rPr>
          <w:rFonts w:ascii="Times New Roman" w:hAnsi="Times New Roman"/>
          <w:vertAlign w:val="baseline"/>
        </w:rPr>
        <w:sectPr w:rsidR="00000000">
          <w:type w:val="continuous"/>
          <w:pgSz w:w="11906" w:h="16838"/>
          <w:pgMar w:top="1417" w:right="1701" w:bottom="1417" w:left="1701" w:header="720" w:footer="720" w:gutter="0"/>
          <w:cols w:space="720"/>
        </w:sectPr>
      </w:pPr>
    </w:p>
    <w:p w:rsidR="00000000" w:rsidRDefault="00F779A5">
      <w:pPr>
        <w:jc w:val="both"/>
        <w:rPr>
          <w:rFonts w:ascii="Times New Roman" w:hAnsi="Times New Roman"/>
          <w:vertAlign w:val="baseline"/>
        </w:rPr>
      </w:pPr>
      <w:r>
        <w:rPr>
          <w:rFonts w:ascii="Times New Roman" w:hAnsi="Times New Roman"/>
          <w:vertAlign w:val="baseline"/>
        </w:rPr>
        <w:lastRenderedPageBreak/>
        <w:t>6.1 Introducción</w:t>
      </w:r>
    </w:p>
    <w:p w:rsidR="00000000" w:rsidRDefault="00F779A5">
      <w:pPr>
        <w:jc w:val="both"/>
        <w:rPr>
          <w:rFonts w:ascii="Times New Roman" w:hAnsi="Times New Roman"/>
          <w:vertAlign w:val="baseline"/>
        </w:rPr>
      </w:pPr>
    </w:p>
    <w:p w:rsidR="00000000" w:rsidRDefault="00F779A5">
      <w:pPr>
        <w:jc w:val="both"/>
        <w:rPr>
          <w:rFonts w:ascii="Times New Roman" w:hAnsi="Times New Roman"/>
          <w:vertAlign w:val="baseline"/>
        </w:rPr>
      </w:pPr>
      <w:r>
        <w:rPr>
          <w:rFonts w:ascii="Times New Roman" w:hAnsi="Times New Roman"/>
          <w:vertAlign w:val="baseline"/>
        </w:rPr>
        <w:t>Est</w:t>
      </w:r>
      <w:r>
        <w:rPr>
          <w:rFonts w:ascii="Times New Roman" w:hAnsi="Times New Roman"/>
          <w:vertAlign w:val="baseline"/>
        </w:rPr>
        <w:t>a</w:t>
      </w:r>
      <w:r>
        <w:rPr>
          <w:rFonts w:ascii="Times New Roman" w:hAnsi="Times New Roman"/>
          <w:vertAlign w:val="baseline"/>
        </w:rPr>
        <w:t xml:space="preserve"> </w:t>
      </w:r>
      <w:r>
        <w:rPr>
          <w:rFonts w:ascii="Times New Roman" w:hAnsi="Times New Roman"/>
          <w:vertAlign w:val="baseline"/>
        </w:rPr>
        <w:t>secci</w:t>
      </w:r>
      <w:r>
        <w:rPr>
          <w:rFonts w:ascii="Times New Roman" w:hAnsi="Times New Roman"/>
          <w:vertAlign w:val="baseline"/>
        </w:rPr>
        <w:t>ón</w:t>
      </w:r>
      <w:r>
        <w:rPr>
          <w:rFonts w:ascii="Times New Roman" w:hAnsi="Times New Roman"/>
          <w:vertAlign w:val="baseline"/>
        </w:rPr>
        <w:t xml:space="preserve"> esta constituido </w:t>
      </w:r>
      <w:r>
        <w:rPr>
          <w:rFonts w:ascii="Times New Roman" w:hAnsi="Times New Roman"/>
          <w:vertAlign w:val="baseline"/>
        </w:rPr>
        <w:t>en</w:t>
      </w:r>
      <w:r>
        <w:rPr>
          <w:rFonts w:ascii="Times New Roman" w:hAnsi="Times New Roman"/>
          <w:vertAlign w:val="baseline"/>
        </w:rPr>
        <w:t xml:space="preserve"> 2</w:t>
      </w:r>
      <w:r>
        <w:rPr>
          <w:rFonts w:ascii="Times New Roman" w:hAnsi="Times New Roman"/>
          <w:vertAlign w:val="baseline"/>
        </w:rPr>
        <w:t xml:space="preserve"> </w:t>
      </w:r>
      <w:r>
        <w:rPr>
          <w:rFonts w:ascii="Times New Roman" w:hAnsi="Times New Roman"/>
          <w:vertAlign w:val="baseline"/>
        </w:rPr>
        <w:t>puntos</w:t>
      </w:r>
      <w:r>
        <w:rPr>
          <w:rFonts w:ascii="Times New Roman" w:hAnsi="Times New Roman"/>
          <w:vertAlign w:val="baseline"/>
        </w:rPr>
        <w:t xml:space="preserve">:  </w:t>
      </w:r>
      <w:r>
        <w:rPr>
          <w:rFonts w:ascii="Times New Roman" w:hAnsi="Times New Roman"/>
          <w:vertAlign w:val="baseline"/>
        </w:rPr>
        <w:t>El</w:t>
      </w:r>
      <w:r>
        <w:rPr>
          <w:rFonts w:ascii="Times New Roman" w:hAnsi="Times New Roman"/>
          <w:vertAlign w:val="baseline"/>
        </w:rPr>
        <w:t xml:space="preserve"> primer</w:t>
      </w:r>
      <w:r>
        <w:rPr>
          <w:rFonts w:ascii="Times New Roman" w:hAnsi="Times New Roman"/>
          <w:vertAlign w:val="baseline"/>
        </w:rPr>
        <w:t xml:space="preserve"> </w:t>
      </w:r>
      <w:r>
        <w:rPr>
          <w:rFonts w:ascii="Times New Roman" w:hAnsi="Times New Roman"/>
          <w:vertAlign w:val="baseline"/>
        </w:rPr>
        <w:t>punto</w:t>
      </w:r>
      <w:r>
        <w:rPr>
          <w:rFonts w:ascii="Times New Roman" w:hAnsi="Times New Roman"/>
          <w:vertAlign w:val="baseline"/>
        </w:rPr>
        <w:t xml:space="preserve"> da la expl</w:t>
      </w:r>
      <w:r>
        <w:rPr>
          <w:rFonts w:ascii="Times New Roman" w:hAnsi="Times New Roman"/>
          <w:vertAlign w:val="baseline"/>
        </w:rPr>
        <w:t xml:space="preserve">icación de las herramientas estadísticas y </w:t>
      </w:r>
      <w:r>
        <w:rPr>
          <w:rFonts w:ascii="Times New Roman" w:hAnsi="Times New Roman"/>
          <w:vertAlign w:val="baseline"/>
        </w:rPr>
        <w:t>el</w:t>
      </w:r>
      <w:r>
        <w:rPr>
          <w:rFonts w:ascii="Times New Roman" w:hAnsi="Times New Roman"/>
          <w:vertAlign w:val="baseline"/>
        </w:rPr>
        <w:t xml:space="preserve"> segund</w:t>
      </w:r>
      <w:r>
        <w:rPr>
          <w:rFonts w:ascii="Times New Roman" w:hAnsi="Times New Roman"/>
          <w:vertAlign w:val="baseline"/>
        </w:rPr>
        <w:t>o</w:t>
      </w:r>
      <w:r>
        <w:rPr>
          <w:rFonts w:ascii="Times New Roman" w:hAnsi="Times New Roman"/>
          <w:vertAlign w:val="baseline"/>
        </w:rPr>
        <w:t xml:space="preserve"> </w:t>
      </w:r>
      <w:r>
        <w:rPr>
          <w:rFonts w:ascii="Times New Roman" w:hAnsi="Times New Roman"/>
          <w:vertAlign w:val="baseline"/>
        </w:rPr>
        <w:t>punto</w:t>
      </w:r>
      <w:r>
        <w:rPr>
          <w:rFonts w:ascii="Times New Roman" w:hAnsi="Times New Roman"/>
          <w:vertAlign w:val="baseline"/>
        </w:rPr>
        <w:t xml:space="preserve"> corresponde a los resultados obtenidos.</w:t>
      </w:r>
    </w:p>
    <w:p w:rsidR="00000000" w:rsidRDefault="00F779A5">
      <w:pPr>
        <w:jc w:val="both"/>
        <w:rPr>
          <w:rFonts w:ascii="Times New Roman" w:hAnsi="Times New Roman"/>
          <w:vertAlign w:val="baseline"/>
        </w:rPr>
      </w:pPr>
    </w:p>
    <w:p w:rsidR="00000000" w:rsidRDefault="00F779A5">
      <w:pPr>
        <w:jc w:val="both"/>
        <w:rPr>
          <w:rFonts w:ascii="Times New Roman" w:hAnsi="Times New Roman"/>
          <w:vertAlign w:val="baseline"/>
        </w:rPr>
      </w:pPr>
      <w:r>
        <w:rPr>
          <w:rFonts w:ascii="Times New Roman" w:hAnsi="Times New Roman"/>
          <w:vertAlign w:val="baseline"/>
        </w:rPr>
        <w:t>6.2 Explicación de las Herramientas Estadísticas</w:t>
      </w:r>
    </w:p>
    <w:p w:rsidR="00000000" w:rsidRDefault="00F779A5">
      <w:pPr>
        <w:jc w:val="both"/>
        <w:rPr>
          <w:rFonts w:ascii="Times New Roman" w:hAnsi="Times New Roman"/>
          <w:vertAlign w:val="baseline"/>
        </w:rPr>
      </w:pPr>
    </w:p>
    <w:p w:rsidR="00000000" w:rsidRDefault="00F779A5">
      <w:pPr>
        <w:jc w:val="both"/>
        <w:rPr>
          <w:rFonts w:ascii="Times New Roman" w:hAnsi="Times New Roman"/>
          <w:vertAlign w:val="baseline"/>
        </w:rPr>
      </w:pPr>
      <w:r>
        <w:rPr>
          <w:rFonts w:ascii="Times New Roman" w:hAnsi="Times New Roman"/>
          <w:vertAlign w:val="baseline"/>
        </w:rPr>
        <w:t>Es importante estudiar la relación o comportamiento que puede existir entre dos variables, por este mot</w:t>
      </w:r>
      <w:r>
        <w:rPr>
          <w:rFonts w:ascii="Times New Roman" w:hAnsi="Times New Roman"/>
          <w:vertAlign w:val="baseline"/>
        </w:rPr>
        <w:t>ivo vamos a explicar que es la covarianza y coeficiente simple de correlación lineal.</w:t>
      </w:r>
    </w:p>
    <w:p w:rsidR="00000000" w:rsidRDefault="00F779A5">
      <w:pPr>
        <w:jc w:val="both"/>
        <w:rPr>
          <w:rFonts w:ascii="Times New Roman" w:hAnsi="Times New Roman"/>
          <w:vertAlign w:val="baseline"/>
        </w:rPr>
      </w:pP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  <w:r>
        <w:rPr>
          <w:rFonts w:ascii="Times New Roman" w:hAnsi="Times New Roman"/>
          <w:vertAlign w:val="baseline"/>
          <w:lang w:val="es-EC"/>
        </w:rPr>
        <w:t>La covarianza entre dos variables:  y1 y y2, se denota por la siguiente fórmula:</w:t>
      </w: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  <w:r>
        <w:rPr>
          <w:rFonts w:ascii="Times New Roman" w:hAnsi="Times New Roman"/>
          <w:position w:val="-10"/>
          <w:vertAlign w:val="baseline"/>
          <w:lang w:val="es-EC"/>
        </w:rPr>
        <w:object w:dxaOrig="34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25pt;height:17.25pt" o:ole="" fillcolor="window">
            <v:imagedata r:id="rId10" o:title=""/>
          </v:shape>
          <o:OLEObject Type="Embed" ProgID="Equation.3" ShapeID="_x0000_i1025" DrawAspect="Content" ObjectID="_1308031958" r:id="rId11"/>
        </w:object>
      </w: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  <w:r>
        <w:rPr>
          <w:rFonts w:ascii="Times New Roman" w:hAnsi="Times New Roman"/>
          <w:vertAlign w:val="baseline"/>
          <w:lang w:val="es-EC"/>
        </w:rPr>
        <w:t>Desafortunadamente, el uso de la covarianza como una medida</w:t>
      </w:r>
      <w:r>
        <w:rPr>
          <w:rFonts w:ascii="Times New Roman" w:hAnsi="Times New Roman"/>
          <w:vertAlign w:val="baseline"/>
          <w:lang w:val="es-EC"/>
        </w:rPr>
        <w:t xml:space="preserve"> absoluta de dependencia es dificultosa porque su valor depende de la escala de medición.  Es por eso que a primera vista sea difícil saber si una covarianza es grande.  Esta dificultad se puede eliminar estandarizando su valor por medio del coeficiente si</w:t>
      </w:r>
      <w:r>
        <w:rPr>
          <w:rFonts w:ascii="Times New Roman" w:hAnsi="Times New Roman"/>
          <w:vertAlign w:val="baseline"/>
          <w:lang w:val="es-EC"/>
        </w:rPr>
        <w:t>mple de correlación lineal.  Su fórmula es:</w:t>
      </w: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  <w:r>
        <w:rPr>
          <w:rFonts w:ascii="Times New Roman" w:hAnsi="Times New Roman"/>
          <w:position w:val="-30"/>
          <w:vertAlign w:val="baseline"/>
          <w:lang w:val="es-EC"/>
        </w:rPr>
        <w:object w:dxaOrig="1640" w:dyaOrig="700">
          <v:shape id="_x0000_i1026" type="#_x0000_t75" style="width:81.75pt;height:35.25pt" o:ole="" fillcolor="window">
            <v:imagedata r:id="rId12" o:title=""/>
          </v:shape>
          <o:OLEObject Type="Embed" ProgID="Equation.3" ShapeID="_x0000_i1026" DrawAspect="Content" ObjectID="_1308031959" r:id="rId13"/>
        </w:object>
      </w: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  <w:r>
        <w:rPr>
          <w:rFonts w:ascii="Times New Roman" w:hAnsi="Times New Roman"/>
          <w:vertAlign w:val="baseline"/>
          <w:lang w:val="es-EC"/>
        </w:rPr>
        <w:t xml:space="preserve">está relacionado a la covarianza y toma valores en el intervalo </w:t>
      </w:r>
      <w:r>
        <w:rPr>
          <w:rFonts w:ascii="Times New Roman" w:hAnsi="Times New Roman"/>
          <w:position w:val="-10"/>
          <w:vertAlign w:val="baseline"/>
          <w:lang w:val="es-EC"/>
        </w:rPr>
        <w:object w:dxaOrig="1060" w:dyaOrig="320">
          <v:shape id="_x0000_i1027" type="#_x0000_t75" style="width:53.25pt;height:15.75pt" o:ole="" fillcolor="window">
            <v:imagedata r:id="rId14" o:title=""/>
          </v:shape>
          <o:OLEObject Type="Embed" ProgID="Equation.3" ShapeID="_x0000_i1027" DrawAspect="Content" ObjectID="_1308031960" r:id="rId15"/>
        </w:object>
      </w:r>
      <w:r>
        <w:rPr>
          <w:rFonts w:ascii="Times New Roman" w:hAnsi="Times New Roman"/>
          <w:vertAlign w:val="baseline"/>
          <w:lang w:val="es-EC"/>
        </w:rPr>
        <w:t>.</w:t>
      </w: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  <w:r>
        <w:rPr>
          <w:rFonts w:ascii="Times New Roman" w:hAnsi="Times New Roman"/>
          <w:vertAlign w:val="baseline"/>
          <w:lang w:val="es-EC"/>
        </w:rPr>
        <w:lastRenderedPageBreak/>
        <w:t>La matriz de correlación es una matriz conformada por n filas y por  n columnas.  Además e</w:t>
      </w:r>
      <w:r>
        <w:rPr>
          <w:rFonts w:ascii="Times New Roman" w:hAnsi="Times New Roman"/>
          <w:vertAlign w:val="baseline"/>
          <w:lang w:val="es-EC"/>
        </w:rPr>
        <w:t xml:space="preserve">s una matriz simétrica; es decir, que los valores de los elementos aij de la matriz, es el mismo valor en los elementos aji de la matriz.  </w:t>
      </w: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</w:p>
    <w:p w:rsidR="00000000" w:rsidRDefault="00F779A5">
      <w:pPr>
        <w:jc w:val="both"/>
        <w:rPr>
          <w:rFonts w:ascii="Times New Roman" w:hAnsi="Times New Roman"/>
          <w:vertAlign w:val="baseline"/>
        </w:rPr>
      </w:pPr>
      <w:r>
        <w:rPr>
          <w:rFonts w:ascii="Times New Roman" w:hAnsi="Times New Roman"/>
          <w:vertAlign w:val="baseline"/>
        </w:rPr>
        <w:t xml:space="preserve">La matriz de correlación nos explica como se encuentran relacionadas cada una de las variables con otra variable.  </w:t>
      </w:r>
      <w:r>
        <w:rPr>
          <w:rFonts w:ascii="Times New Roman" w:hAnsi="Times New Roman"/>
          <w:vertAlign w:val="baseline"/>
        </w:rPr>
        <w:t>Su diagonal siempre contendrá el valor de 1.   Si tiene un valor 0, nos indicará que no tiene ninguna relación con esa variable, por lo menos no lineal; es decir, pueda que tenga una relación cuadrática o de otro grado.</w:t>
      </w: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  <w:r>
        <w:rPr>
          <w:rFonts w:ascii="Times New Roman" w:hAnsi="Times New Roman"/>
          <w:vertAlign w:val="baseline"/>
          <w:lang w:val="es-EC"/>
        </w:rPr>
        <w:t xml:space="preserve">Cuando la correlación es positiva, </w:t>
      </w:r>
      <w:r>
        <w:rPr>
          <w:rFonts w:ascii="Times New Roman" w:hAnsi="Times New Roman"/>
          <w:vertAlign w:val="baseline"/>
          <w:lang w:val="es-EC"/>
        </w:rPr>
        <w:t>esto nos indica que su proyección de la regresión lineal va a tender a crecer conjuntamente con la contra variable.</w:t>
      </w: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  <w:r>
        <w:rPr>
          <w:rFonts w:ascii="Times New Roman" w:hAnsi="Times New Roman"/>
          <w:vertAlign w:val="baseline"/>
          <w:lang w:val="es-EC"/>
        </w:rPr>
        <w:t>Cuando la correlación es negativa, esto nos indica que su proyección de la regresión lineal va a tender a decrecer conjuntamente con la con</w:t>
      </w:r>
      <w:r>
        <w:rPr>
          <w:rFonts w:ascii="Times New Roman" w:hAnsi="Times New Roman"/>
          <w:vertAlign w:val="baseline"/>
          <w:lang w:val="es-EC"/>
        </w:rPr>
        <w:t>tra variable.</w:t>
      </w: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  <w:r>
        <w:rPr>
          <w:rFonts w:ascii="Times New Roman" w:hAnsi="Times New Roman"/>
          <w:vertAlign w:val="baseline"/>
          <w:lang w:val="es-EC"/>
        </w:rPr>
        <w:t>6.3 Matriz de Correlación</w:t>
      </w: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</w:p>
    <w:p w:rsidR="00000000" w:rsidRDefault="00F779A5">
      <w:pPr>
        <w:jc w:val="both"/>
        <w:rPr>
          <w:rFonts w:ascii="Times New Roman" w:hAnsi="Times New Roman"/>
          <w:vertAlign w:val="baseline"/>
          <w:lang w:val="es-EC"/>
        </w:rPr>
      </w:pPr>
      <w:r>
        <w:rPr>
          <w:rFonts w:ascii="Times New Roman" w:hAnsi="Times New Roman"/>
          <w:vertAlign w:val="baseline"/>
          <w:lang w:val="es-EC"/>
        </w:rPr>
        <w:t>En el cuadro siguiente, los valores de las correlaciones más altas, las vamos a distinguir por medio de otro color.</w:t>
      </w:r>
    </w:p>
    <w:p w:rsidR="00000000" w:rsidRDefault="00F779A5">
      <w:pPr>
        <w:rPr>
          <w:rFonts w:ascii="Times New Roman" w:hAnsi="Times New Roman"/>
          <w:vertAlign w:val="baseline"/>
        </w:rPr>
        <w:sectPr w:rsidR="00000000">
          <w:type w:val="continuous"/>
          <w:pgSz w:w="11906" w:h="16838"/>
          <w:pgMar w:top="1417" w:right="1701" w:bottom="1417" w:left="1701" w:header="720" w:footer="720" w:gutter="0"/>
          <w:cols w:num="2" w:space="720" w:equalWidth="0">
            <w:col w:w="3897" w:space="709"/>
            <w:col w:w="3897"/>
          </w:cols>
        </w:sectPr>
      </w:pPr>
    </w:p>
    <w:p w:rsidR="00F779A5" w:rsidRDefault="00F779A5"/>
    <w:sectPr w:rsidR="00F779A5"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9A5" w:rsidRDefault="00F779A5">
      <w:r>
        <w:separator/>
      </w:r>
    </w:p>
  </w:endnote>
  <w:endnote w:type="continuationSeparator" w:id="1">
    <w:p w:rsidR="00F779A5" w:rsidRDefault="00F77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9A5" w:rsidRDefault="00F779A5">
      <w:r>
        <w:separator/>
      </w:r>
    </w:p>
  </w:footnote>
  <w:footnote w:type="continuationSeparator" w:id="1">
    <w:p w:rsidR="00F779A5" w:rsidRDefault="00F779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19C6"/>
    <w:rsid w:val="009519C6"/>
    <w:rsid w:val="00F77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vertAlign w:val="subscript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semiHidden/>
    <w:pPr>
      <w:spacing w:line="360" w:lineRule="auto"/>
      <w:jc w:val="both"/>
    </w:pPr>
    <w:rPr>
      <w:vertAlign w:val="baseli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image" Target="media/image2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wmf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image" Target="media/image3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76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Secuencia de Datos: Total de pacientes analizados</a:t>
            </a:r>
          </a:p>
        </c:rich>
      </c:tx>
      <c:layout>
        <c:manualLayout>
          <c:xMode val="edge"/>
          <c:yMode val="edge"/>
          <c:x val="0.15123456790123463"/>
          <c:y val="1.8072289156626505E-2"/>
        </c:manualLayout>
      </c:layout>
      <c:spPr>
        <a:noFill/>
        <a:ln w="21447">
          <a:noFill/>
        </a:ln>
      </c:spPr>
    </c:title>
    <c:plotArea>
      <c:layout>
        <c:manualLayout>
          <c:layoutTarget val="inner"/>
          <c:xMode val="edge"/>
          <c:yMode val="edge"/>
          <c:x val="0.17592592592592593"/>
          <c:y val="0.39759036144578336"/>
          <c:w val="0.79320987654321018"/>
          <c:h val="0.37951807228915696"/>
        </c:manualLayout>
      </c:layout>
      <c:lineChart>
        <c:grouping val="standard"/>
        <c:ser>
          <c:idx val="0"/>
          <c:order val="0"/>
          <c:spPr>
            <a:ln w="10723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'Hoja1 (2)'!$A$2:$A$9</c:f>
              <c:numCache>
                <c:formatCode>General</c:formatCode>
                <c:ptCount val="8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</c:numCache>
            </c:numRef>
          </c:cat>
          <c:val>
            <c:numRef>
              <c:f>'Hoja1 (2)'!$B$2:$B$9</c:f>
              <c:numCache>
                <c:formatCode>General</c:formatCode>
                <c:ptCount val="8"/>
                <c:pt idx="0">
                  <c:v>8467</c:v>
                </c:pt>
                <c:pt idx="1">
                  <c:v>9597</c:v>
                </c:pt>
                <c:pt idx="2">
                  <c:v>8501</c:v>
                </c:pt>
                <c:pt idx="3">
                  <c:v>9624</c:v>
                </c:pt>
                <c:pt idx="4">
                  <c:v>6615</c:v>
                </c:pt>
                <c:pt idx="5">
                  <c:v>8182</c:v>
                </c:pt>
                <c:pt idx="6">
                  <c:v>7712</c:v>
                </c:pt>
                <c:pt idx="7">
                  <c:v>5582</c:v>
                </c:pt>
              </c:numCache>
            </c:numRef>
          </c:val>
        </c:ser>
        <c:marker val="1"/>
        <c:axId val="136269824"/>
        <c:axId val="136271744"/>
      </c:lineChart>
      <c:catAx>
        <c:axId val="136269824"/>
        <c:scaling>
          <c:orientation val="minMax"/>
        </c:scaling>
        <c:axPos val="b"/>
        <c:numFmt formatCode="General" sourceLinked="1"/>
        <c:tickLblPos val="nextTo"/>
        <c:spPr>
          <a:ln w="26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36271744"/>
        <c:crosses val="autoZero"/>
        <c:auto val="1"/>
        <c:lblAlgn val="ctr"/>
        <c:lblOffset val="100"/>
        <c:tickLblSkip val="1"/>
        <c:tickMarkSkip val="1"/>
      </c:catAx>
      <c:valAx>
        <c:axId val="136271744"/>
        <c:scaling>
          <c:orientation val="minMax"/>
        </c:scaling>
        <c:axPos val="l"/>
        <c:numFmt formatCode="General" sourceLinked="1"/>
        <c:tickLblPos val="nextTo"/>
        <c:spPr>
          <a:ln w="26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36269824"/>
        <c:crosses val="autoZero"/>
        <c:crossBetween val="between"/>
      </c:valAx>
      <c:spPr>
        <a:noFill/>
        <a:ln w="10723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81">
      <a:solidFill>
        <a:srgbClr val="000000"/>
      </a:solidFill>
      <a:prstDash val="solid"/>
    </a:ln>
  </c:spPr>
  <c:txPr>
    <a:bodyPr/>
    <a:lstStyle/>
    <a:p>
      <a:pPr>
        <a:defRPr sz="76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756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Secuencia de Datos: Ciudad</a:t>
            </a:r>
          </a:p>
        </c:rich>
      </c:tx>
      <c:layout>
        <c:manualLayout>
          <c:xMode val="edge"/>
          <c:yMode val="edge"/>
          <c:x val="0.24923076923076923"/>
          <c:y val="1.7964071856287435E-2"/>
        </c:manualLayout>
      </c:layout>
      <c:spPr>
        <a:noFill/>
        <a:ln w="21330">
          <a:noFill/>
        </a:ln>
      </c:spPr>
    </c:title>
    <c:plotArea>
      <c:layout>
        <c:manualLayout>
          <c:layoutTarget val="inner"/>
          <c:xMode val="edge"/>
          <c:yMode val="edge"/>
          <c:x val="0.17538461538461533"/>
          <c:y val="0.2994011976047905"/>
          <c:w val="0.79384615384615387"/>
          <c:h val="0.47904191616766484"/>
        </c:manualLayout>
      </c:layout>
      <c:lineChart>
        <c:grouping val="standard"/>
        <c:ser>
          <c:idx val="0"/>
          <c:order val="0"/>
          <c:spPr>
            <a:ln w="10665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'Hoja1 (2)'!$A$2:$A$9</c:f>
              <c:numCache>
                <c:formatCode>General</c:formatCode>
                <c:ptCount val="8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</c:numCache>
            </c:numRef>
          </c:cat>
          <c:val>
            <c:numRef>
              <c:f>'Hoja1 (2)'!$C$2:$C$9</c:f>
              <c:numCache>
                <c:formatCode>General</c:formatCode>
                <c:ptCount val="8"/>
                <c:pt idx="0">
                  <c:v>7803</c:v>
                </c:pt>
                <c:pt idx="1">
                  <c:v>9022</c:v>
                </c:pt>
                <c:pt idx="2">
                  <c:v>7634</c:v>
                </c:pt>
                <c:pt idx="3">
                  <c:v>8507</c:v>
                </c:pt>
                <c:pt idx="4">
                  <c:v>5432</c:v>
                </c:pt>
                <c:pt idx="5">
                  <c:v>6721</c:v>
                </c:pt>
                <c:pt idx="6">
                  <c:v>6182</c:v>
                </c:pt>
                <c:pt idx="7">
                  <c:v>4640</c:v>
                </c:pt>
              </c:numCache>
            </c:numRef>
          </c:val>
        </c:ser>
        <c:marker val="1"/>
        <c:axId val="136401664"/>
        <c:axId val="136403584"/>
      </c:lineChart>
      <c:catAx>
        <c:axId val="136401664"/>
        <c:scaling>
          <c:orientation val="minMax"/>
        </c:scaling>
        <c:axPos val="b"/>
        <c:numFmt formatCode="General" sourceLinked="1"/>
        <c:tickLblPos val="nextTo"/>
        <c:spPr>
          <a:ln w="26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2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36403584"/>
        <c:crosses val="autoZero"/>
        <c:auto val="1"/>
        <c:lblAlgn val="ctr"/>
        <c:lblOffset val="100"/>
        <c:tickLblSkip val="1"/>
        <c:tickMarkSkip val="1"/>
      </c:catAx>
      <c:valAx>
        <c:axId val="136403584"/>
        <c:scaling>
          <c:orientation val="minMax"/>
        </c:scaling>
        <c:axPos val="l"/>
        <c:numFmt formatCode="General" sourceLinked="1"/>
        <c:tickLblPos val="nextTo"/>
        <c:spPr>
          <a:ln w="26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36401664"/>
        <c:crosses val="autoZero"/>
        <c:crossBetween val="between"/>
      </c:valAx>
      <c:spPr>
        <a:noFill/>
        <a:ln w="10665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66">
      <a:solidFill>
        <a:srgbClr val="000000"/>
      </a:solidFill>
      <a:prstDash val="solid"/>
    </a:ln>
  </c:spPr>
  <c:txPr>
    <a:bodyPr/>
    <a:lstStyle/>
    <a:p>
      <a:pPr>
        <a:defRPr sz="756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75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Secuencia de Datos: Afuera de la Ciudad</a:t>
            </a:r>
          </a:p>
        </c:rich>
      </c:tx>
      <c:layout>
        <c:manualLayout>
          <c:xMode val="edge"/>
          <c:yMode val="edge"/>
          <c:x val="0.14417177914110427"/>
          <c:y val="1.7857142857142856E-2"/>
        </c:manualLayout>
      </c:layout>
      <c:spPr>
        <a:noFill/>
        <a:ln w="21320">
          <a:noFill/>
        </a:ln>
      </c:spPr>
    </c:title>
    <c:plotArea>
      <c:layout>
        <c:manualLayout>
          <c:layoutTarget val="inner"/>
          <c:xMode val="edge"/>
          <c:yMode val="edge"/>
          <c:x val="0.15337423312883441"/>
          <c:y val="0.29761904761904773"/>
          <c:w val="0.81595092024539873"/>
          <c:h val="0.48214285714285737"/>
        </c:manualLayout>
      </c:layout>
      <c:lineChart>
        <c:grouping val="standard"/>
        <c:ser>
          <c:idx val="0"/>
          <c:order val="0"/>
          <c:spPr>
            <a:ln w="10660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'Hoja1 (2)'!$A$2:$A$9</c:f>
              <c:numCache>
                <c:formatCode>General</c:formatCode>
                <c:ptCount val="8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</c:numCache>
            </c:numRef>
          </c:cat>
          <c:val>
            <c:numRef>
              <c:f>'Hoja1 (2)'!$D$2:$D$9</c:f>
              <c:numCache>
                <c:formatCode>General</c:formatCode>
                <c:ptCount val="8"/>
                <c:pt idx="0">
                  <c:v>662</c:v>
                </c:pt>
                <c:pt idx="1">
                  <c:v>575</c:v>
                </c:pt>
                <c:pt idx="2">
                  <c:v>857</c:v>
                </c:pt>
                <c:pt idx="3">
                  <c:v>1118</c:v>
                </c:pt>
                <c:pt idx="4">
                  <c:v>1130</c:v>
                </c:pt>
                <c:pt idx="5">
                  <c:v>1461</c:v>
                </c:pt>
                <c:pt idx="6">
                  <c:v>1530</c:v>
                </c:pt>
                <c:pt idx="7">
                  <c:v>942</c:v>
                </c:pt>
              </c:numCache>
            </c:numRef>
          </c:val>
        </c:ser>
        <c:marker val="1"/>
        <c:axId val="136758784"/>
        <c:axId val="136760704"/>
      </c:lineChart>
      <c:catAx>
        <c:axId val="136758784"/>
        <c:scaling>
          <c:orientation val="minMax"/>
        </c:scaling>
        <c:axPos val="b"/>
        <c:numFmt formatCode="General" sourceLinked="1"/>
        <c:tickLblPos val="nextTo"/>
        <c:spPr>
          <a:ln w="26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36760704"/>
        <c:crosses val="autoZero"/>
        <c:auto val="1"/>
        <c:lblAlgn val="ctr"/>
        <c:lblOffset val="100"/>
        <c:tickLblSkip val="1"/>
        <c:tickMarkSkip val="1"/>
      </c:catAx>
      <c:valAx>
        <c:axId val="136760704"/>
        <c:scaling>
          <c:orientation val="minMax"/>
        </c:scaling>
        <c:axPos val="l"/>
        <c:numFmt formatCode="General" sourceLinked="1"/>
        <c:tickLblPos val="nextTo"/>
        <c:spPr>
          <a:ln w="26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36758784"/>
        <c:crosses val="autoZero"/>
        <c:crossBetween val="between"/>
      </c:valAx>
      <c:spPr>
        <a:noFill/>
        <a:ln w="1066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65">
      <a:solidFill>
        <a:srgbClr val="000000"/>
      </a:solidFill>
      <a:prstDash val="solid"/>
    </a:ln>
  </c:spPr>
  <c:txPr>
    <a:bodyPr/>
    <a:lstStyle/>
    <a:p>
      <a:pPr>
        <a:defRPr sz="75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75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Secuencia de Datos: Total de Enfermos</a:t>
            </a:r>
          </a:p>
        </c:rich>
      </c:tx>
      <c:layout>
        <c:manualLayout>
          <c:xMode val="edge"/>
          <c:yMode val="edge"/>
          <c:x val="0.15290519877675846"/>
          <c:y val="1.7751479289940843E-2"/>
        </c:manualLayout>
      </c:layout>
      <c:spPr>
        <a:noFill/>
        <a:ln w="21255">
          <a:noFill/>
        </a:ln>
      </c:spPr>
    </c:title>
    <c:plotArea>
      <c:layout>
        <c:manualLayout>
          <c:layoutTarget val="inner"/>
          <c:xMode val="edge"/>
          <c:yMode val="edge"/>
          <c:x val="0.15290519877675846"/>
          <c:y val="0.29585798816568071"/>
          <c:w val="0.81651376146788968"/>
          <c:h val="0.48520710059171585"/>
        </c:manualLayout>
      </c:layout>
      <c:lineChart>
        <c:grouping val="standard"/>
        <c:ser>
          <c:idx val="0"/>
          <c:order val="0"/>
          <c:spPr>
            <a:ln w="1062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'Hoja1 (2)'!$A$2:$A$9</c:f>
              <c:numCache>
                <c:formatCode>General</c:formatCode>
                <c:ptCount val="8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</c:numCache>
            </c:numRef>
          </c:cat>
          <c:val>
            <c:numRef>
              <c:f>'Hoja1 (2)'!$E$2:$E$9</c:f>
              <c:numCache>
                <c:formatCode>General</c:formatCode>
                <c:ptCount val="8"/>
                <c:pt idx="0">
                  <c:v>1059</c:v>
                </c:pt>
                <c:pt idx="1">
                  <c:v>1316</c:v>
                </c:pt>
                <c:pt idx="2">
                  <c:v>940</c:v>
                </c:pt>
                <c:pt idx="3">
                  <c:v>1069</c:v>
                </c:pt>
                <c:pt idx="4">
                  <c:v>906</c:v>
                </c:pt>
                <c:pt idx="5">
                  <c:v>1141</c:v>
                </c:pt>
                <c:pt idx="6">
                  <c:v>1493</c:v>
                </c:pt>
                <c:pt idx="7">
                  <c:v>1330</c:v>
                </c:pt>
              </c:numCache>
            </c:numRef>
          </c:val>
        </c:ser>
        <c:marker val="1"/>
        <c:axId val="137251072"/>
        <c:axId val="137253248"/>
      </c:lineChart>
      <c:catAx>
        <c:axId val="137251072"/>
        <c:scaling>
          <c:orientation val="minMax"/>
        </c:scaling>
        <c:axPos val="b"/>
        <c:numFmt formatCode="General" sourceLinked="1"/>
        <c:tickLblPos val="nextTo"/>
        <c:spPr>
          <a:ln w="26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6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37253248"/>
        <c:crosses val="autoZero"/>
        <c:auto val="1"/>
        <c:lblAlgn val="ctr"/>
        <c:lblOffset val="100"/>
        <c:tickLblSkip val="1"/>
        <c:tickMarkSkip val="1"/>
      </c:catAx>
      <c:valAx>
        <c:axId val="137253248"/>
        <c:scaling>
          <c:orientation val="minMax"/>
        </c:scaling>
        <c:axPos val="l"/>
        <c:numFmt formatCode="General" sourceLinked="1"/>
        <c:tickLblPos val="nextTo"/>
        <c:spPr>
          <a:ln w="26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3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37251072"/>
        <c:crosses val="autoZero"/>
        <c:crossBetween val="between"/>
      </c:valAx>
      <c:spPr>
        <a:noFill/>
        <a:ln w="10627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2657">
      <a:solidFill>
        <a:srgbClr val="000000"/>
      </a:solidFill>
      <a:prstDash val="solid"/>
    </a:ln>
  </c:spPr>
  <c:txPr>
    <a:bodyPr/>
    <a:lstStyle/>
    <a:p>
      <a:pPr>
        <a:defRPr sz="753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Como podemos observar, con el transcurso del tiempo, la participación de los centros de salud ha ido aumentando, mientras que la participación de particulares y hospitales ha ido disminuyendo,  podemos alegar que se debe a la mejor participación de los c</vt:lpstr>
    </vt:vector>
  </TitlesOfParts>
  <Company>Baquero</Company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Como podemos observar, con el transcurso del tiempo, la participación de los centros de salud ha ido aumentando, mientras que la participación de particulares y hospitales ha ido disminuyendo,  podemos alegar que se debe a la mejor participación de los c</dc:title>
  <dc:subject/>
  <dc:creator>Eduardo</dc:creator>
  <cp:keywords/>
  <cp:lastModifiedBy>Ayudante</cp:lastModifiedBy>
  <cp:revision>2</cp:revision>
  <dcterms:created xsi:type="dcterms:W3CDTF">2009-07-02T14:26:00Z</dcterms:created>
  <dcterms:modified xsi:type="dcterms:W3CDTF">2009-07-02T14:26:00Z</dcterms:modified>
</cp:coreProperties>
</file>