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6"/>
        <w:rPr>
          <w:rFonts w:ascii="Arial" w:hAnsi="Arial" w:cs="Arial"/>
        </w:rPr>
      </w:pPr>
      <w:r>
        <w:rPr>
          <w:rFonts w:ascii="Arial" w:hAnsi="Arial" w:cs="Arial"/>
        </w:rPr>
        <w:t>CAPÍTULO 1</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b/>
          <w:bCs/>
          <w:sz w:val="32"/>
        </w:rPr>
      </w:pPr>
      <w:r>
        <w:rPr>
          <w:rFonts w:ascii="Arial" w:hAnsi="Arial" w:cs="Arial"/>
          <w:b/>
          <w:bCs/>
          <w:sz w:val="32"/>
        </w:rPr>
        <w:t>1. INICIO DE LA ACTIVIDAD EMPRESARIAL</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ind w:left="357"/>
        <w:jc w:val="both"/>
        <w:rPr>
          <w:rFonts w:ascii="Arial" w:hAnsi="Arial" w:cs="Arial"/>
          <w:b/>
          <w:bCs/>
        </w:rPr>
      </w:pPr>
      <w:r>
        <w:rPr>
          <w:rFonts w:ascii="Arial" w:hAnsi="Arial" w:cs="Arial"/>
          <w:b/>
          <w:bCs/>
        </w:rPr>
        <w:t>1.1   Antecedentes</w:t>
      </w:r>
    </w:p>
    <w:p w:rsidR="00000000" w:rsidRDefault="000E1CA1">
      <w:pPr>
        <w:jc w:val="both"/>
        <w:rPr>
          <w:rFonts w:ascii="Arial" w:hAnsi="Arial" w:cs="Arial"/>
          <w:b/>
          <w:bCs/>
        </w:rPr>
      </w:pPr>
    </w:p>
    <w:p w:rsidR="00000000" w:rsidRDefault="000E1CA1">
      <w:pPr>
        <w:pStyle w:val="Sangradetextonormal"/>
        <w:spacing w:line="480" w:lineRule="auto"/>
        <w:ind w:left="902"/>
      </w:pPr>
      <w:r>
        <w:t>El inicio de la actividad empresarial surge a raíz de la aparición de la propiedad privada, es decir, cuando el hombre comienza a crear objetos para su beneficio personal, lóg</w:t>
      </w:r>
      <w:r>
        <w:t>ico es que en la época esclavista y feudal poco se hizo para que se  desarrollara esta actividad, pero a raíz del gran impulso económico que logró el modelo feudal de producción comenzaron a surgir ciertos lugares en los cuales se realizó determinada activ</w:t>
      </w:r>
      <w:r>
        <w:t>idad, para lo cual se contrató cierto número de personas para que realicen cada tarea y el conjunto de ella trajo como consecuencia la creación de los mercados.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Se puede decir que la actividad empresarial nace dentro del hogar, en la familia, con la fin</w:t>
      </w:r>
      <w:r>
        <w:rPr>
          <w:rFonts w:ascii="Arial" w:hAnsi="Arial" w:cs="Arial"/>
        </w:rPr>
        <w:t xml:space="preserve">alidad de obtener un beneficio por el bien </w:t>
      </w:r>
      <w:r>
        <w:rPr>
          <w:rFonts w:ascii="Arial" w:hAnsi="Arial" w:cs="Arial"/>
        </w:rPr>
        <w:lastRenderedPageBreak/>
        <w:t>creado, que posteriormente era vendido en el mercado; luego esta actividad empresarial se amplía cuando la manufactura se la realiza a gran escala, claro está que previamente ya habían surgido grandes inventos, ta</w:t>
      </w:r>
      <w:r>
        <w:rPr>
          <w:rFonts w:ascii="Arial" w:hAnsi="Arial" w:cs="Arial"/>
        </w:rPr>
        <w:t>les como telares, lo cual permitía crear productos más rápidamente.  Finalmente aparece la compañía en la cual se sectoriza la producción por lo que cada trabajador realiza una parte del producto final planificado, se puede decir, que la compañía se desarr</w:t>
      </w:r>
      <w:r>
        <w:rPr>
          <w:rFonts w:ascii="Arial" w:hAnsi="Arial" w:cs="Arial"/>
        </w:rPr>
        <w:t xml:space="preserve">olla en el llamado sistema de producción capitalista, en el cual intervienen en el proceso productivo dos clases de agentes de la producción los cuales reciben diferentes nombres de acuerdo al papel que desempeñan en el proceso de creación de bienes y son </w:t>
      </w:r>
      <w:r>
        <w:rPr>
          <w:rFonts w:ascii="Arial" w:hAnsi="Arial" w:cs="Arial"/>
        </w:rPr>
        <w:t>los siguientes:</w:t>
      </w: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numPr>
          <w:ilvl w:val="0"/>
          <w:numId w:val="1"/>
        </w:numPr>
        <w:spacing w:line="480" w:lineRule="auto"/>
        <w:ind w:left="1259" w:hanging="357"/>
        <w:jc w:val="both"/>
        <w:rPr>
          <w:rFonts w:ascii="Arial" w:hAnsi="Arial" w:cs="Arial"/>
        </w:rPr>
      </w:pPr>
      <w:r>
        <w:rPr>
          <w:rFonts w:ascii="Arial" w:hAnsi="Arial" w:cs="Arial"/>
        </w:rPr>
        <w:t>Los capitalistas, quienes son dueños del capital (dinero) que lo invierten en una determinada actividad económica con la finalidad de obtener como premio a esta inversión la llamada rentabilidad, y,</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numPr>
          <w:ilvl w:val="0"/>
          <w:numId w:val="1"/>
        </w:numPr>
        <w:spacing w:line="480" w:lineRule="auto"/>
        <w:ind w:left="1259" w:hanging="357"/>
        <w:jc w:val="both"/>
        <w:rPr>
          <w:rFonts w:ascii="Arial" w:hAnsi="Arial" w:cs="Arial"/>
        </w:rPr>
      </w:pPr>
      <w:r>
        <w:rPr>
          <w:rFonts w:ascii="Arial" w:hAnsi="Arial" w:cs="Arial"/>
        </w:rPr>
        <w:t>Los obreros y empleados, son los qu</w:t>
      </w:r>
      <w:r>
        <w:rPr>
          <w:rFonts w:ascii="Arial" w:hAnsi="Arial" w:cs="Arial"/>
        </w:rPr>
        <w:t>e reciben como pago por vender su fuerza de trabajo, un salario.</w:t>
      </w:r>
    </w:p>
    <w:p w:rsidR="00000000" w:rsidRDefault="000E1CA1">
      <w:pPr>
        <w:pStyle w:val="Ttulo3"/>
        <w:spacing w:line="480" w:lineRule="auto"/>
        <w:ind w:left="902" w:firstLine="0"/>
        <w:rPr>
          <w:rFonts w:ascii="Arial" w:hAnsi="Arial" w:cs="Arial"/>
        </w:rPr>
      </w:pPr>
      <w:r>
        <w:rPr>
          <w:rFonts w:ascii="Arial" w:hAnsi="Arial" w:cs="Arial"/>
        </w:rPr>
        <w:lastRenderedPageBreak/>
        <w:t>1.1.1   Derecho Societario</w:t>
      </w:r>
    </w:p>
    <w:p w:rsidR="00000000" w:rsidRDefault="000E1CA1">
      <w:pPr>
        <w:pStyle w:val="Textoindependiente"/>
        <w:spacing w:line="480" w:lineRule="auto"/>
        <w:ind w:left="902"/>
        <w:rPr>
          <w:rFonts w:ascii="Arial" w:hAnsi="Arial" w:cs="Arial"/>
        </w:rPr>
      </w:pPr>
      <w:r>
        <w:rPr>
          <w:rFonts w:ascii="Arial" w:hAnsi="Arial" w:cs="Arial"/>
        </w:rPr>
        <w:t>Una vez superada la economía natural de productores autosuficientes, se da curso a la división del trabajo, el proceso productivo adquiere otra sistematización y nu</w:t>
      </w:r>
      <w:r>
        <w:rPr>
          <w:rFonts w:ascii="Arial" w:hAnsi="Arial" w:cs="Arial"/>
        </w:rPr>
        <w:t xml:space="preserve">evas actividades empiezan a realizarse con personas especialmente dedicadas a ellas.  La economía contemporánea propicia la agrupación de individuos y la unión de capitales para emprender en operaciones mercantiles; el empresario individual es opacado por </w:t>
      </w:r>
      <w:r>
        <w:rPr>
          <w:rFonts w:ascii="Arial" w:hAnsi="Arial" w:cs="Arial"/>
        </w:rPr>
        <w:t>el empresario colectivo es decir la sociedad, pues no puede competir con las grandes compañías.</w:t>
      </w: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El estado por su parte, conciente de este fenómeno trascendental por medio de los órganos competentes ha estimulado el nacimiento y desarrollo del denominado</w:t>
      </w:r>
      <w:r>
        <w:rPr>
          <w:rFonts w:ascii="Arial" w:hAnsi="Arial" w:cs="Arial"/>
        </w:rPr>
        <w:t xml:space="preserve"> Derecho Societario, este derecho está muy relacionado con los conceptos de empresa y empresario.  El empresario es el sujeto que realiza una actividad económica.  La empresa, en cambio, para unos constituye la actividad del  empresario, para otros es una </w:t>
      </w:r>
      <w:r>
        <w:rPr>
          <w:rFonts w:ascii="Arial" w:hAnsi="Arial" w:cs="Arial"/>
        </w:rPr>
        <w:t>organización creada por el empresario o el conjunto de relaciones jurídicas que arrancan de la empresa con independencia del mismo empresario.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4"/>
        <w:spacing w:line="480" w:lineRule="auto"/>
        <w:ind w:left="194"/>
        <w:rPr>
          <w:rFonts w:ascii="Arial" w:hAnsi="Arial" w:cs="Arial"/>
        </w:rPr>
      </w:pPr>
      <w:r>
        <w:rPr>
          <w:rFonts w:ascii="Arial" w:hAnsi="Arial" w:cs="Arial"/>
        </w:rPr>
        <w:lastRenderedPageBreak/>
        <w:t>1.1.2   Derecho Mercantil</w:t>
      </w:r>
    </w:p>
    <w:p w:rsidR="00000000" w:rsidRDefault="000E1CA1">
      <w:pPr>
        <w:spacing w:line="480" w:lineRule="auto"/>
        <w:ind w:left="902"/>
        <w:jc w:val="both"/>
        <w:rPr>
          <w:rFonts w:ascii="Arial" w:hAnsi="Arial" w:cs="Arial"/>
        </w:rPr>
      </w:pPr>
      <w:r>
        <w:rPr>
          <w:rFonts w:ascii="Arial" w:hAnsi="Arial" w:cs="Arial"/>
        </w:rPr>
        <w:t xml:space="preserve">El origen del Derecho Mercantil como disciplina autónoma se ubica en la Edad Media, </w:t>
      </w:r>
      <w:r>
        <w:rPr>
          <w:rFonts w:ascii="Arial" w:hAnsi="Arial" w:cs="Arial"/>
        </w:rPr>
        <w:t>en donde se desarrollaron sistemas normativos e inventaron instituciones encaminadas a regular relaciones comerciales hoy sometidas al régimen del Derecho Mercantil.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derecho español en materia mercantil ha tenido singular influencia en Ecuador.  En 1</w:t>
      </w:r>
      <w:r>
        <w:rPr>
          <w:rFonts w:ascii="Arial" w:hAnsi="Arial" w:cs="Arial"/>
        </w:rPr>
        <w:t>857 se expide el Código Civil el mismo que contenía el derecho civil y el derecho mercantil, hasta que en 1878 se promulga el Código de Comercio, que con reformas está vigente hasta nuestros días.  EL 27 de enero de 1964 se expide la primera Ley de Compañí</w:t>
      </w:r>
      <w:r>
        <w:rPr>
          <w:rFonts w:ascii="Arial" w:hAnsi="Arial" w:cs="Arial"/>
        </w:rPr>
        <w:t xml:space="preserve">as, mediante el decreto No. 162 publicado en el Registro Oficial No. 181 del 15 de febrero de ese mismo año.  La Superintendencia de Compañías por resolución 319 de 6 de mayo de 1968 realiza la primera codificación .  La segunda codificación la realizó la </w:t>
      </w:r>
      <w:r>
        <w:rPr>
          <w:rFonts w:ascii="Arial" w:hAnsi="Arial" w:cs="Arial"/>
        </w:rPr>
        <w:t>Comisión Jurídica y finalmente la tercera codificación, la efectúa la Comisión Legislativa de 28 de junio de 1977.</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El Derecho Mercantil es una disciplina con autonomía legislativa, dogmática, científica y didáctica, desde la óptica legal regula los </w:t>
      </w:r>
      <w:r>
        <w:rPr>
          <w:rFonts w:ascii="Arial" w:hAnsi="Arial" w:cs="Arial"/>
        </w:rPr>
        <w:lastRenderedPageBreak/>
        <w:t>hech</w:t>
      </w:r>
      <w:r>
        <w:rPr>
          <w:rFonts w:ascii="Arial" w:hAnsi="Arial" w:cs="Arial"/>
        </w:rPr>
        <w:t>os y actos sometidos al Código de Comercio y a las demás leyes mercantiles, por ejemplo, la Ley de Compañías.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extoindependiente"/>
        <w:ind w:left="902"/>
        <w:rPr>
          <w:rFonts w:ascii="Arial" w:hAnsi="Arial" w:cs="Arial"/>
        </w:rPr>
      </w:pPr>
      <w:r>
        <w:rPr>
          <w:rFonts w:ascii="Arial" w:hAnsi="Arial" w:cs="Arial"/>
        </w:rPr>
        <w:t>La expedición de la Ley de Compañías en el Ecuador propicia:</w:t>
      </w:r>
    </w:p>
    <w:p w:rsidR="00000000" w:rsidRDefault="000E1CA1">
      <w:pPr>
        <w:pStyle w:val="Textoindependiente"/>
        <w:ind w:left="868"/>
        <w:rPr>
          <w:rFonts w:ascii="Arial" w:hAnsi="Arial" w:cs="Arial"/>
        </w:rPr>
      </w:pPr>
    </w:p>
    <w:p w:rsidR="00000000" w:rsidRDefault="000E1CA1" w:rsidP="000E1CA1">
      <w:pPr>
        <w:numPr>
          <w:ilvl w:val="0"/>
          <w:numId w:val="3"/>
        </w:numPr>
        <w:spacing w:line="480" w:lineRule="auto"/>
        <w:jc w:val="both"/>
        <w:rPr>
          <w:rFonts w:ascii="Arial" w:hAnsi="Arial" w:cs="Arial"/>
        </w:rPr>
      </w:pPr>
      <w:r>
        <w:rPr>
          <w:rFonts w:ascii="Arial" w:hAnsi="Arial" w:cs="Arial"/>
        </w:rPr>
        <w:t xml:space="preserve">La vigencia de un cuerpo legal dotado de sistematización y autonomía en relación </w:t>
      </w:r>
      <w:r>
        <w:rPr>
          <w:rFonts w:ascii="Arial" w:hAnsi="Arial" w:cs="Arial"/>
        </w:rPr>
        <w:t>al Derecho Mercantil común.</w:t>
      </w:r>
    </w:p>
    <w:p w:rsidR="00000000" w:rsidRDefault="000E1CA1" w:rsidP="000E1CA1">
      <w:pPr>
        <w:numPr>
          <w:ilvl w:val="0"/>
          <w:numId w:val="3"/>
        </w:numPr>
        <w:spacing w:line="480" w:lineRule="auto"/>
        <w:jc w:val="both"/>
        <w:rPr>
          <w:rFonts w:ascii="Arial" w:hAnsi="Arial" w:cs="Arial"/>
        </w:rPr>
      </w:pPr>
      <w:r>
        <w:rPr>
          <w:rFonts w:ascii="Arial" w:hAnsi="Arial" w:cs="Arial"/>
        </w:rPr>
        <w:t>La regulación más precisa y pormenorizada del proceso de constitución y funcionamiento de las sociedades.</w:t>
      </w:r>
    </w:p>
    <w:p w:rsidR="00000000" w:rsidRDefault="000E1CA1" w:rsidP="000E1CA1">
      <w:pPr>
        <w:numPr>
          <w:ilvl w:val="0"/>
          <w:numId w:val="3"/>
        </w:numPr>
        <w:spacing w:line="480" w:lineRule="auto"/>
        <w:jc w:val="both"/>
        <w:rPr>
          <w:rFonts w:ascii="Arial" w:hAnsi="Arial" w:cs="Arial"/>
        </w:rPr>
      </w:pPr>
      <w:r>
        <w:rPr>
          <w:rFonts w:ascii="Arial" w:hAnsi="Arial" w:cs="Arial"/>
        </w:rPr>
        <w:t>El establecimiento de disposiciones tendientes a la diferenciación de las formas de fundación de compañía anónima.</w:t>
      </w:r>
    </w:p>
    <w:p w:rsidR="00000000" w:rsidRDefault="000E1CA1" w:rsidP="000E1CA1">
      <w:pPr>
        <w:numPr>
          <w:ilvl w:val="0"/>
          <w:numId w:val="3"/>
        </w:numPr>
        <w:spacing w:line="480" w:lineRule="auto"/>
        <w:jc w:val="both"/>
        <w:rPr>
          <w:rFonts w:ascii="Arial" w:hAnsi="Arial" w:cs="Arial"/>
        </w:rPr>
      </w:pPr>
      <w:r>
        <w:rPr>
          <w:rFonts w:ascii="Arial" w:hAnsi="Arial" w:cs="Arial"/>
        </w:rPr>
        <w:t>El esta</w:t>
      </w:r>
      <w:r>
        <w:rPr>
          <w:rFonts w:ascii="Arial" w:hAnsi="Arial" w:cs="Arial"/>
        </w:rPr>
        <w:t>blecimiento y regulación de los contratos de promoción y suscripción.</w:t>
      </w:r>
    </w:p>
    <w:p w:rsidR="00000000" w:rsidRDefault="000E1CA1" w:rsidP="000E1CA1">
      <w:pPr>
        <w:numPr>
          <w:ilvl w:val="0"/>
          <w:numId w:val="3"/>
        </w:numPr>
        <w:spacing w:line="480" w:lineRule="auto"/>
        <w:jc w:val="both"/>
        <w:rPr>
          <w:rFonts w:ascii="Arial" w:hAnsi="Arial" w:cs="Arial"/>
        </w:rPr>
      </w:pPr>
      <w:r>
        <w:rPr>
          <w:rFonts w:ascii="Arial" w:hAnsi="Arial" w:cs="Arial"/>
        </w:rPr>
        <w:t>La inserción de preceptos relacionados con la emisión de los certificados provisionales y de los títulos de acción.</w:t>
      </w:r>
    </w:p>
    <w:p w:rsidR="00000000" w:rsidRDefault="000E1CA1" w:rsidP="000E1CA1">
      <w:pPr>
        <w:numPr>
          <w:ilvl w:val="0"/>
          <w:numId w:val="3"/>
        </w:numPr>
        <w:spacing w:line="480" w:lineRule="auto"/>
        <w:jc w:val="both"/>
        <w:rPr>
          <w:rFonts w:ascii="Arial" w:hAnsi="Arial" w:cs="Arial"/>
        </w:rPr>
      </w:pPr>
      <w:r>
        <w:rPr>
          <w:rFonts w:ascii="Arial" w:hAnsi="Arial" w:cs="Arial"/>
        </w:rPr>
        <w:t>La regulación adecuada de los derechos de los promotores, fundadores y</w:t>
      </w:r>
      <w:r>
        <w:rPr>
          <w:rFonts w:ascii="Arial" w:hAnsi="Arial" w:cs="Arial"/>
        </w:rPr>
        <w:t xml:space="preserve"> accionistas.</w:t>
      </w:r>
    </w:p>
    <w:p w:rsidR="00000000" w:rsidRDefault="000E1CA1" w:rsidP="000E1CA1">
      <w:pPr>
        <w:numPr>
          <w:ilvl w:val="0"/>
          <w:numId w:val="3"/>
        </w:numPr>
        <w:spacing w:line="480" w:lineRule="auto"/>
        <w:jc w:val="both"/>
        <w:rPr>
          <w:rFonts w:ascii="Arial" w:hAnsi="Arial" w:cs="Arial"/>
        </w:rPr>
      </w:pPr>
      <w:r>
        <w:rPr>
          <w:rFonts w:ascii="Arial" w:hAnsi="Arial" w:cs="Arial"/>
        </w:rPr>
        <w:t>La creación de las partes beneficiarias.</w:t>
      </w:r>
    </w:p>
    <w:p w:rsidR="00000000" w:rsidRDefault="000E1CA1" w:rsidP="000E1CA1">
      <w:pPr>
        <w:numPr>
          <w:ilvl w:val="0"/>
          <w:numId w:val="3"/>
        </w:numPr>
        <w:spacing w:line="480" w:lineRule="auto"/>
        <w:jc w:val="both"/>
        <w:rPr>
          <w:rFonts w:ascii="Arial" w:hAnsi="Arial" w:cs="Arial"/>
        </w:rPr>
      </w:pPr>
      <w:r>
        <w:rPr>
          <w:rFonts w:ascii="Arial" w:hAnsi="Arial" w:cs="Arial"/>
        </w:rPr>
        <w:t>La emisión de obligaciones como nuevo instrumento de financiamiento de las sociedades anónimas.</w:t>
      </w:r>
    </w:p>
    <w:p w:rsidR="00000000" w:rsidRDefault="000E1CA1" w:rsidP="000E1CA1">
      <w:pPr>
        <w:numPr>
          <w:ilvl w:val="0"/>
          <w:numId w:val="3"/>
        </w:numPr>
        <w:spacing w:line="480" w:lineRule="auto"/>
        <w:jc w:val="both"/>
        <w:rPr>
          <w:rFonts w:ascii="Arial" w:hAnsi="Arial" w:cs="Arial"/>
        </w:rPr>
      </w:pPr>
      <w:r>
        <w:rPr>
          <w:rFonts w:ascii="Arial" w:hAnsi="Arial" w:cs="Arial"/>
        </w:rPr>
        <w:t>El mejoramiento de la fiscalización interna de la compañía anónima.</w:t>
      </w:r>
    </w:p>
    <w:p w:rsidR="00000000" w:rsidRDefault="000E1CA1" w:rsidP="000E1CA1">
      <w:pPr>
        <w:numPr>
          <w:ilvl w:val="0"/>
          <w:numId w:val="3"/>
        </w:numPr>
        <w:spacing w:line="480" w:lineRule="auto"/>
        <w:jc w:val="both"/>
        <w:rPr>
          <w:rFonts w:ascii="Arial" w:hAnsi="Arial" w:cs="Arial"/>
        </w:rPr>
      </w:pPr>
      <w:r>
        <w:rPr>
          <w:rFonts w:ascii="Arial" w:hAnsi="Arial" w:cs="Arial"/>
        </w:rPr>
        <w:lastRenderedPageBreak/>
        <w:t>La incorporación de normas concernien</w:t>
      </w:r>
      <w:r>
        <w:rPr>
          <w:rFonts w:ascii="Arial" w:hAnsi="Arial" w:cs="Arial"/>
        </w:rPr>
        <w:t>tes a los balances de la sociedad anónima.</w:t>
      </w:r>
    </w:p>
    <w:p w:rsidR="00000000" w:rsidRDefault="000E1CA1" w:rsidP="000E1CA1">
      <w:pPr>
        <w:numPr>
          <w:ilvl w:val="0"/>
          <w:numId w:val="3"/>
        </w:numPr>
        <w:spacing w:line="480" w:lineRule="auto"/>
        <w:jc w:val="both"/>
        <w:rPr>
          <w:rFonts w:ascii="Arial" w:hAnsi="Arial" w:cs="Arial"/>
        </w:rPr>
      </w:pPr>
      <w:r>
        <w:rPr>
          <w:rFonts w:ascii="Arial" w:hAnsi="Arial" w:cs="Arial"/>
        </w:rPr>
        <w:t>La introducción de las instituciones jurídicas denominadas transformación y fusión.</w:t>
      </w:r>
    </w:p>
    <w:p w:rsidR="00000000" w:rsidRDefault="000E1CA1" w:rsidP="000E1CA1">
      <w:pPr>
        <w:numPr>
          <w:ilvl w:val="0"/>
          <w:numId w:val="3"/>
        </w:numPr>
        <w:spacing w:line="480" w:lineRule="auto"/>
        <w:jc w:val="both"/>
        <w:rPr>
          <w:rFonts w:ascii="Arial" w:hAnsi="Arial" w:cs="Arial"/>
        </w:rPr>
      </w:pPr>
      <w:r>
        <w:rPr>
          <w:rFonts w:ascii="Arial" w:hAnsi="Arial" w:cs="Arial"/>
        </w:rPr>
        <w:t>La incorporación a nuestra legislación de las figuras jurídicas referentes a las compañías de economía mixta y de responsabilidad</w:t>
      </w:r>
      <w:r>
        <w:rPr>
          <w:rFonts w:ascii="Arial" w:hAnsi="Arial" w:cs="Arial"/>
        </w:rPr>
        <w:t xml:space="preserve"> limitada.</w:t>
      </w:r>
    </w:p>
    <w:p w:rsidR="00000000" w:rsidRDefault="000E1CA1" w:rsidP="000E1CA1">
      <w:pPr>
        <w:numPr>
          <w:ilvl w:val="0"/>
          <w:numId w:val="3"/>
        </w:numPr>
        <w:spacing w:line="480" w:lineRule="auto"/>
        <w:jc w:val="both"/>
        <w:rPr>
          <w:rFonts w:ascii="Arial" w:hAnsi="Arial" w:cs="Arial"/>
        </w:rPr>
      </w:pPr>
      <w:r>
        <w:rPr>
          <w:rFonts w:ascii="Arial" w:hAnsi="Arial" w:cs="Arial"/>
        </w:rPr>
        <w:t>El establecimiento de la Superintendencia de Compañías, como organismo de control de las sociedades de comercio.</w:t>
      </w:r>
    </w:p>
    <w:p w:rsidR="00000000" w:rsidRDefault="000E1CA1" w:rsidP="000E1CA1">
      <w:pPr>
        <w:numPr>
          <w:ilvl w:val="0"/>
          <w:numId w:val="3"/>
        </w:numPr>
        <w:spacing w:line="480" w:lineRule="auto"/>
        <w:jc w:val="both"/>
        <w:rPr>
          <w:rFonts w:ascii="Arial" w:hAnsi="Arial" w:cs="Arial"/>
        </w:rPr>
      </w:pPr>
      <w:r>
        <w:rPr>
          <w:rFonts w:ascii="Arial" w:hAnsi="Arial" w:cs="Arial"/>
        </w:rPr>
        <w:t xml:space="preserve">Que un solo organismo de carácter estatal asuma el control y fiscalización de las compañías anónimas, en comandita por acciones, de </w:t>
      </w:r>
      <w:r>
        <w:rPr>
          <w:rFonts w:ascii="Arial" w:hAnsi="Arial" w:cs="Arial"/>
        </w:rPr>
        <w:t>economía mixta, de responsabilidad limitada y de las compañías extranjeras que ejerzan sus actividades en el Ecuador cualquiera que fuere su especie.</w:t>
      </w:r>
    </w:p>
    <w:p w:rsidR="00000000" w:rsidRDefault="000E1CA1" w:rsidP="000E1CA1">
      <w:pPr>
        <w:numPr>
          <w:ilvl w:val="0"/>
          <w:numId w:val="3"/>
        </w:numPr>
        <w:spacing w:line="480" w:lineRule="auto"/>
        <w:jc w:val="both"/>
        <w:rPr>
          <w:rFonts w:ascii="Arial" w:hAnsi="Arial" w:cs="Arial"/>
        </w:rPr>
      </w:pPr>
      <w:r>
        <w:rPr>
          <w:rFonts w:ascii="Arial" w:hAnsi="Arial" w:cs="Arial"/>
        </w:rPr>
        <w:t xml:space="preserve">Que el Estado evalúe y justiprecie el volumen empresarial privado y que mantenga información en cuanto al </w:t>
      </w:r>
      <w:r>
        <w:rPr>
          <w:rFonts w:ascii="Arial" w:hAnsi="Arial" w:cs="Arial"/>
        </w:rPr>
        <w:t>monto de las inversiones societarias.</w:t>
      </w:r>
    </w:p>
    <w:p w:rsidR="00000000" w:rsidRDefault="000E1CA1" w:rsidP="000E1CA1">
      <w:pPr>
        <w:numPr>
          <w:ilvl w:val="0"/>
          <w:numId w:val="3"/>
        </w:numPr>
        <w:spacing w:line="480" w:lineRule="auto"/>
        <w:jc w:val="both"/>
        <w:rPr>
          <w:rFonts w:ascii="Arial" w:hAnsi="Arial" w:cs="Arial"/>
        </w:rPr>
      </w:pPr>
      <w:r>
        <w:rPr>
          <w:rFonts w:ascii="Arial" w:hAnsi="Arial" w:cs="Arial"/>
        </w:rPr>
        <w:t>El alivio del embarazo ocasionando al ejercicio jurisdiccional civil por el incremento cuantitativo de las compañías limitadas.</w:t>
      </w:r>
    </w:p>
    <w:p w:rsidR="00000000" w:rsidRDefault="000E1CA1" w:rsidP="000E1CA1">
      <w:pPr>
        <w:numPr>
          <w:ilvl w:val="0"/>
          <w:numId w:val="3"/>
        </w:numPr>
        <w:spacing w:line="480" w:lineRule="auto"/>
        <w:jc w:val="both"/>
        <w:rPr>
          <w:rFonts w:ascii="Arial" w:hAnsi="Arial" w:cs="Arial"/>
        </w:rPr>
      </w:pPr>
      <w:r>
        <w:rPr>
          <w:rFonts w:ascii="Arial" w:hAnsi="Arial" w:cs="Arial"/>
        </w:rPr>
        <w:t>Una mayor protección jurídica de las minorías.</w:t>
      </w:r>
    </w:p>
    <w:p w:rsidR="00000000" w:rsidRDefault="000E1CA1" w:rsidP="000E1CA1">
      <w:pPr>
        <w:numPr>
          <w:ilvl w:val="0"/>
          <w:numId w:val="3"/>
        </w:numPr>
        <w:spacing w:line="480" w:lineRule="auto"/>
        <w:jc w:val="both"/>
        <w:rPr>
          <w:rFonts w:ascii="Arial" w:hAnsi="Arial" w:cs="Arial"/>
        </w:rPr>
      </w:pPr>
      <w:r>
        <w:rPr>
          <w:rFonts w:ascii="Arial" w:hAnsi="Arial" w:cs="Arial"/>
        </w:rPr>
        <w:lastRenderedPageBreak/>
        <w:t>La incorporación de más solemnidades y requ</w:t>
      </w:r>
      <w:r>
        <w:rPr>
          <w:rFonts w:ascii="Arial" w:hAnsi="Arial" w:cs="Arial"/>
        </w:rPr>
        <w:t xml:space="preserve">isitos para la formación de compañías en interés de los socios y terceros. </w:t>
      </w:r>
    </w:p>
    <w:p w:rsidR="00000000" w:rsidRDefault="000E1CA1" w:rsidP="000E1CA1">
      <w:pPr>
        <w:numPr>
          <w:ilvl w:val="0"/>
          <w:numId w:val="3"/>
        </w:numPr>
        <w:spacing w:line="480" w:lineRule="auto"/>
        <w:jc w:val="both"/>
        <w:rPr>
          <w:rFonts w:ascii="Arial" w:hAnsi="Arial" w:cs="Arial"/>
        </w:rPr>
      </w:pPr>
      <w:r>
        <w:rPr>
          <w:rFonts w:ascii="Arial" w:hAnsi="Arial" w:cs="Arial"/>
        </w:rPr>
        <w:t>La restricción de las facultades de los contratantes.</w:t>
      </w:r>
    </w:p>
    <w:p w:rsidR="00000000" w:rsidRDefault="000E1CA1" w:rsidP="000E1CA1">
      <w:pPr>
        <w:numPr>
          <w:ilvl w:val="0"/>
          <w:numId w:val="3"/>
        </w:numPr>
        <w:spacing w:line="480" w:lineRule="auto"/>
        <w:jc w:val="both"/>
        <w:rPr>
          <w:rFonts w:ascii="Arial" w:hAnsi="Arial" w:cs="Arial"/>
        </w:rPr>
      </w:pPr>
      <w:r>
        <w:rPr>
          <w:rFonts w:ascii="Arial" w:hAnsi="Arial" w:cs="Arial"/>
        </w:rPr>
        <w:t>La mayor publicidad de los actos de la compañía.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Ttulo2"/>
        <w:spacing w:line="480" w:lineRule="auto"/>
        <w:ind w:left="357"/>
        <w:rPr>
          <w:rFonts w:ascii="Arial" w:hAnsi="Arial" w:cs="Arial"/>
        </w:rPr>
      </w:pPr>
      <w:r>
        <w:rPr>
          <w:rFonts w:ascii="Arial" w:hAnsi="Arial" w:cs="Arial"/>
        </w:rPr>
        <w:t>1.2   Definiciones básicas</w:t>
      </w:r>
    </w:p>
    <w:p w:rsidR="00000000" w:rsidRDefault="000E1CA1">
      <w:pPr>
        <w:spacing w:line="480" w:lineRule="auto"/>
        <w:ind w:left="902"/>
        <w:jc w:val="both"/>
        <w:rPr>
          <w:rFonts w:ascii="Arial" w:hAnsi="Arial" w:cs="Arial"/>
        </w:rPr>
      </w:pPr>
      <w:r>
        <w:rPr>
          <w:rFonts w:ascii="Arial" w:hAnsi="Arial" w:cs="Arial"/>
        </w:rPr>
        <w:t>En la sociedad actual se desarrolla una serie d</w:t>
      </w:r>
      <w:r>
        <w:rPr>
          <w:rFonts w:ascii="Arial" w:hAnsi="Arial" w:cs="Arial"/>
        </w:rPr>
        <w:t xml:space="preserve">e organizaciones que son factores importantes en el proceso productivo lo cual ayuda a que la sociedad progrese en forma acelerada.  Estas organizaciones tienen que cumplir con ciertos requisitos, que van a permitir un desenvolvimiento eficiente de ellas. </w:t>
      </w:r>
      <w:r>
        <w:rPr>
          <w:rFonts w:ascii="Arial" w:hAnsi="Arial" w:cs="Arial"/>
        </w:rPr>
        <w:t xml:space="preserve">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bCs/>
        </w:rPr>
      </w:pPr>
      <w:r>
        <w:rPr>
          <w:rFonts w:ascii="Arial" w:hAnsi="Arial" w:cs="Arial"/>
          <w:b/>
          <w:bCs/>
        </w:rPr>
        <w:t>1.2.1   Empresa</w:t>
      </w:r>
    </w:p>
    <w:p w:rsidR="00000000" w:rsidRDefault="000E1CA1">
      <w:pPr>
        <w:spacing w:line="480" w:lineRule="auto"/>
        <w:ind w:left="902"/>
        <w:jc w:val="both"/>
        <w:rPr>
          <w:rFonts w:ascii="Arial" w:hAnsi="Arial" w:cs="Arial"/>
        </w:rPr>
      </w:pPr>
      <w:r>
        <w:rPr>
          <w:rFonts w:ascii="Arial" w:hAnsi="Arial" w:cs="Arial"/>
        </w:rPr>
        <w:t>Con la finalidad de tener una idea clara entre compañía y empresa se dice que aun cuando la legislación ecuatoriana se refiere en numerosos ámbitos ya sea mercantil, tributario, laboral, fomento a la empresa, no la define en ninguna pa</w:t>
      </w:r>
      <w:r>
        <w:rPr>
          <w:rFonts w:ascii="Arial" w:hAnsi="Arial" w:cs="Arial"/>
        </w:rPr>
        <w:t>rte, entonces diremos que:</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bCs/>
        </w:rPr>
        <w:t>Empresa</w:t>
      </w:r>
      <w:r>
        <w:rPr>
          <w:rFonts w:ascii="Arial" w:hAnsi="Arial" w:cs="Arial"/>
        </w:rPr>
        <w:t xml:space="preserve"> en economía no es una entidad legal sino un organismo económico, que mediante la combinación del capital y el trabajo, elabora, transporta y / o distribuye  los productos entre los consumidores.  </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b/>
          <w:bCs/>
        </w:rPr>
      </w:pPr>
      <w:r>
        <w:rPr>
          <w:rFonts w:ascii="Arial" w:hAnsi="Arial" w:cs="Arial"/>
          <w:b/>
          <w:bCs/>
        </w:rPr>
        <w:t>1.2.1.1  Clasifica</w:t>
      </w:r>
      <w:r>
        <w:rPr>
          <w:rFonts w:ascii="Arial" w:hAnsi="Arial" w:cs="Arial"/>
          <w:b/>
          <w:bCs/>
        </w:rPr>
        <w:t>ción</w:t>
      </w:r>
    </w:p>
    <w:p w:rsidR="00000000" w:rsidRDefault="000E1CA1">
      <w:pPr>
        <w:spacing w:line="480" w:lineRule="auto"/>
        <w:ind w:left="902"/>
        <w:jc w:val="both"/>
        <w:rPr>
          <w:rFonts w:ascii="Arial" w:hAnsi="Arial" w:cs="Arial"/>
        </w:rPr>
      </w:pPr>
      <w:r>
        <w:rPr>
          <w:rFonts w:ascii="Arial" w:hAnsi="Arial" w:cs="Arial"/>
        </w:rPr>
        <w:t xml:space="preserve">En relación a la propiedad de las empresas se puede dividirlas en: </w:t>
      </w:r>
    </w:p>
    <w:p w:rsidR="00000000" w:rsidRDefault="000E1CA1">
      <w:pPr>
        <w:pStyle w:val="Ttulo2"/>
        <w:ind w:left="902"/>
        <w:rPr>
          <w:rFonts w:ascii="Arial" w:hAnsi="Arial" w:cs="Arial"/>
          <w:b w:val="0"/>
          <w:bCs w:val="0"/>
        </w:rPr>
      </w:pPr>
      <w:r>
        <w:rPr>
          <w:rFonts w:ascii="Arial" w:hAnsi="Arial" w:cs="Arial"/>
        </w:rPr>
        <w:t>Empresas Públicas</w:t>
      </w:r>
      <w:r>
        <w:rPr>
          <w:rFonts w:ascii="Arial" w:hAnsi="Arial" w:cs="Arial"/>
          <w:b w:val="0"/>
          <w:bCs w:val="0"/>
        </w:rPr>
        <w:t>.-Las empresas públicas se agrupan en: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pStyle w:val="Textoindependiente"/>
        <w:numPr>
          <w:ilvl w:val="0"/>
          <w:numId w:val="11"/>
        </w:numPr>
        <w:spacing w:line="480" w:lineRule="auto"/>
        <w:ind w:left="1621" w:hanging="357"/>
        <w:rPr>
          <w:rFonts w:ascii="Arial" w:hAnsi="Arial" w:cs="Arial"/>
        </w:rPr>
      </w:pPr>
      <w:r>
        <w:rPr>
          <w:rFonts w:ascii="Arial" w:hAnsi="Arial" w:cs="Arial"/>
        </w:rPr>
        <w:t xml:space="preserve">Del Estado.-  El Estado como cualquier particular organiza empresas teniendo como finalidad, más que un deseo de lucrar, el </w:t>
      </w:r>
      <w:r>
        <w:rPr>
          <w:rFonts w:ascii="Arial" w:hAnsi="Arial" w:cs="Arial"/>
        </w:rPr>
        <w:t>de realizar servicios públicos.</w:t>
      </w: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rsidP="000E1CA1">
      <w:pPr>
        <w:numPr>
          <w:ilvl w:val="0"/>
          <w:numId w:val="11"/>
        </w:numPr>
        <w:spacing w:line="480" w:lineRule="auto"/>
        <w:ind w:left="1621" w:hanging="357"/>
        <w:jc w:val="both"/>
        <w:rPr>
          <w:rFonts w:ascii="Arial" w:hAnsi="Arial" w:cs="Arial"/>
        </w:rPr>
      </w:pPr>
      <w:r>
        <w:rPr>
          <w:rFonts w:ascii="Arial" w:hAnsi="Arial" w:cs="Arial"/>
        </w:rPr>
        <w:t>De la Municipalidad.-  Estas instituciones como organismos de derecho público controlan la vida de la ciudad o del cantón.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1"/>
        </w:numPr>
        <w:spacing w:line="480" w:lineRule="auto"/>
        <w:ind w:left="1621" w:hanging="357"/>
        <w:jc w:val="both"/>
        <w:rPr>
          <w:rFonts w:ascii="Arial" w:hAnsi="Arial" w:cs="Arial"/>
        </w:rPr>
      </w:pPr>
      <w:r>
        <w:rPr>
          <w:rFonts w:ascii="Arial" w:hAnsi="Arial" w:cs="Arial"/>
        </w:rPr>
        <w:t>De los Estados Federados.-  En los países donde existe el sistema político de los Estados Feder</w:t>
      </w:r>
      <w:r>
        <w:rPr>
          <w:rFonts w:ascii="Arial" w:hAnsi="Arial" w:cs="Arial"/>
        </w:rPr>
        <w:t>ados, cada uno actúa en beneficio de intereses seccionales, organizan empresas al igual que lo hace cualquiera de las empresas privadas.</w:t>
      </w:r>
    </w:p>
    <w:p w:rsidR="00000000" w:rsidRDefault="000E1CA1">
      <w:pPr>
        <w:ind w:left="902"/>
        <w:jc w:val="both"/>
        <w:rPr>
          <w:rFonts w:ascii="Arial" w:hAnsi="Arial" w:cs="Arial"/>
          <w:b/>
          <w:bCs/>
        </w:rPr>
      </w:pPr>
    </w:p>
    <w:p w:rsidR="00000000" w:rsidRDefault="000E1CA1">
      <w:pPr>
        <w:jc w:val="both"/>
        <w:rPr>
          <w:rFonts w:ascii="Arial" w:hAnsi="Arial" w:cs="Arial"/>
          <w:b/>
          <w:bCs/>
        </w:rPr>
      </w:pPr>
    </w:p>
    <w:p w:rsidR="00000000" w:rsidRDefault="000E1CA1">
      <w:pPr>
        <w:ind w:left="924"/>
        <w:jc w:val="both"/>
        <w:rPr>
          <w:rFonts w:ascii="Arial" w:hAnsi="Arial" w:cs="Arial"/>
          <w:b/>
          <w:bCs/>
        </w:rPr>
      </w:pPr>
    </w:p>
    <w:p w:rsidR="00000000" w:rsidRDefault="000E1CA1">
      <w:pPr>
        <w:spacing w:line="480" w:lineRule="auto"/>
        <w:ind w:left="902"/>
        <w:jc w:val="both"/>
        <w:rPr>
          <w:rFonts w:ascii="Arial" w:hAnsi="Arial" w:cs="Arial"/>
        </w:rPr>
      </w:pPr>
      <w:r>
        <w:rPr>
          <w:rFonts w:ascii="Arial" w:hAnsi="Arial" w:cs="Arial"/>
          <w:b/>
          <w:bCs/>
        </w:rPr>
        <w:t xml:space="preserve">Empresas Semipúblicas.-  </w:t>
      </w:r>
      <w:r>
        <w:rPr>
          <w:rFonts w:ascii="Arial" w:hAnsi="Arial" w:cs="Arial"/>
        </w:rPr>
        <w:t>Son aquellas que nacen formadas por ciertas instituciones en donde predominan intereses tan</w:t>
      </w:r>
      <w:r>
        <w:rPr>
          <w:rFonts w:ascii="Arial" w:hAnsi="Arial" w:cs="Arial"/>
        </w:rPr>
        <w:t>to del Estado como de los particulares. Las organizaciones semipúblicas organizan también empresas de beneficio social, mas en la mayor parte de los casos sobresale el fin de lucro, por cuanto necesitan subsistir con las rentas e intereses.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bCs/>
        </w:rPr>
        <w:t>Empresas Pri</w:t>
      </w:r>
      <w:r>
        <w:rPr>
          <w:rFonts w:ascii="Arial" w:hAnsi="Arial" w:cs="Arial"/>
          <w:b/>
          <w:bCs/>
        </w:rPr>
        <w:t>vadas.-</w:t>
      </w:r>
      <w:r>
        <w:rPr>
          <w:rFonts w:ascii="Arial" w:hAnsi="Arial" w:cs="Arial"/>
        </w:rPr>
        <w:t xml:space="preserve">  Son a su vez de dos clases: Individuales y sociales.</w:t>
      </w:r>
    </w:p>
    <w:p w:rsidR="00000000" w:rsidRDefault="000E1CA1" w:rsidP="000E1CA1">
      <w:pPr>
        <w:numPr>
          <w:ilvl w:val="0"/>
          <w:numId w:val="6"/>
        </w:numPr>
        <w:spacing w:line="480" w:lineRule="auto"/>
        <w:jc w:val="both"/>
        <w:rPr>
          <w:rFonts w:ascii="Arial" w:hAnsi="Arial" w:cs="Arial"/>
        </w:rPr>
      </w:pPr>
      <w:r>
        <w:rPr>
          <w:rFonts w:ascii="Arial" w:hAnsi="Arial" w:cs="Arial"/>
          <w:b/>
          <w:bCs/>
        </w:rPr>
        <w:t>Individuales</w:t>
      </w:r>
      <w:r>
        <w:rPr>
          <w:rFonts w:ascii="Arial" w:hAnsi="Arial" w:cs="Arial"/>
        </w:rPr>
        <w:t>.-  Son de propietario único.</w:t>
      </w:r>
    </w:p>
    <w:p w:rsidR="00000000" w:rsidRDefault="000E1CA1" w:rsidP="000E1CA1">
      <w:pPr>
        <w:numPr>
          <w:ilvl w:val="0"/>
          <w:numId w:val="6"/>
        </w:numPr>
        <w:spacing w:line="480" w:lineRule="auto"/>
        <w:jc w:val="both"/>
        <w:rPr>
          <w:rFonts w:ascii="Arial" w:hAnsi="Arial" w:cs="Arial"/>
        </w:rPr>
      </w:pPr>
      <w:r>
        <w:rPr>
          <w:rFonts w:ascii="Arial" w:hAnsi="Arial" w:cs="Arial"/>
          <w:b/>
          <w:bCs/>
        </w:rPr>
        <w:t>Sociales</w:t>
      </w:r>
      <w:r>
        <w:rPr>
          <w:rFonts w:ascii="Arial" w:hAnsi="Arial" w:cs="Arial"/>
        </w:rPr>
        <w:t>.-  Tienen una parte de capital privado y otra de entes de derecho público  (economía mixta,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2"/>
          <w:numId w:val="7"/>
        </w:numPr>
        <w:spacing w:line="480" w:lineRule="auto"/>
        <w:jc w:val="both"/>
        <w:rPr>
          <w:rFonts w:ascii="Arial" w:hAnsi="Arial" w:cs="Arial"/>
          <w:b/>
          <w:bCs/>
        </w:rPr>
      </w:pPr>
      <w:r>
        <w:rPr>
          <w:rFonts w:ascii="Arial" w:hAnsi="Arial" w:cs="Arial"/>
          <w:b/>
          <w:bCs/>
        </w:rPr>
        <w:t xml:space="preserve">Compañía </w:t>
      </w:r>
    </w:p>
    <w:p w:rsidR="00000000" w:rsidRDefault="000E1CA1">
      <w:pPr>
        <w:spacing w:line="480" w:lineRule="auto"/>
        <w:ind w:left="902"/>
        <w:jc w:val="both"/>
        <w:rPr>
          <w:rFonts w:ascii="Arial" w:hAnsi="Arial" w:cs="Arial"/>
        </w:rPr>
      </w:pPr>
      <w:r>
        <w:rPr>
          <w:rFonts w:ascii="Arial" w:hAnsi="Arial" w:cs="Arial"/>
        </w:rPr>
        <w:t>Se define como el contrato en qu</w:t>
      </w:r>
      <w:r>
        <w:rPr>
          <w:rFonts w:ascii="Arial" w:hAnsi="Arial" w:cs="Arial"/>
        </w:rPr>
        <w:t>e dos o más personas estipulan poner algo en común  ya  sea dinero, bienes, servicios, industria o trabajo apreciables en dinero, con el fin de dividirse entre sí los beneficios que de ello provengan.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De esta definición se desprende que las sociedades o</w:t>
      </w:r>
      <w:r>
        <w:rPr>
          <w:rFonts w:ascii="Arial" w:hAnsi="Arial" w:cs="Arial"/>
        </w:rPr>
        <w:t xml:space="preserve"> compañías tienen los siguientes elementos:</w:t>
      </w:r>
    </w:p>
    <w:p w:rsidR="00000000" w:rsidRDefault="000E1CA1" w:rsidP="000E1CA1">
      <w:pPr>
        <w:pStyle w:val="Textoindependiente"/>
        <w:numPr>
          <w:ilvl w:val="1"/>
          <w:numId w:val="5"/>
        </w:numPr>
        <w:spacing w:line="480" w:lineRule="auto"/>
        <w:ind w:left="1434" w:hanging="357"/>
        <w:rPr>
          <w:rFonts w:ascii="Arial" w:hAnsi="Arial" w:cs="Arial"/>
        </w:rPr>
      </w:pPr>
      <w:r>
        <w:rPr>
          <w:rFonts w:ascii="Arial" w:hAnsi="Arial" w:cs="Arial"/>
        </w:rPr>
        <w:t>El elemento material, que consiste en la pluralidad de personas.  Se requiere por lo menos dos, con excepción de las compañías de responsabilidad limitada en las que inicialmente se necesita al menos tres socios,</w:t>
      </w:r>
      <w:r>
        <w:rPr>
          <w:rFonts w:ascii="Arial" w:hAnsi="Arial" w:cs="Arial"/>
        </w:rPr>
        <w:t xml:space="preserve"> y las anónimas en las que participen instituciones de derecho  público o de derecho privado con finalidad social o pública las cuales se pueden constituir con un solo accionista.  Aunque en términos generales se exige esta pluralidad para la constitución </w:t>
      </w:r>
      <w:r>
        <w:rPr>
          <w:rFonts w:ascii="Arial" w:hAnsi="Arial" w:cs="Arial"/>
        </w:rPr>
        <w:t>de sociedades, se permite que las mismas puedan subsistir con un solo socio o accionista.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pStyle w:val="Textoindependiente"/>
        <w:numPr>
          <w:ilvl w:val="1"/>
          <w:numId w:val="5"/>
        </w:numPr>
        <w:spacing w:line="480" w:lineRule="auto"/>
        <w:ind w:left="1434" w:hanging="357"/>
        <w:rPr>
          <w:rFonts w:ascii="Arial" w:hAnsi="Arial" w:cs="Arial"/>
        </w:rPr>
      </w:pPr>
      <w:r>
        <w:rPr>
          <w:rFonts w:ascii="Arial" w:hAnsi="Arial" w:cs="Arial"/>
        </w:rPr>
        <w:t>El elemento formal, que consiste en el fin común u objeto social que determina el aporte de medios de distinta naturaleza para conseguirlo.  El fin debe tener cará</w:t>
      </w:r>
      <w:r>
        <w:rPr>
          <w:rFonts w:ascii="Arial" w:hAnsi="Arial" w:cs="Arial"/>
        </w:rPr>
        <w:t>cter lucrativo, pues lo que se pretende es obtener beneficios para repartirse entre los integrantes de la sociedad; y no se entienden como tales puramente morales no apreciables en dinero.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Puesto que las compañías son personas jurídicas es importante re</w:t>
      </w:r>
      <w:r>
        <w:rPr>
          <w:rFonts w:ascii="Arial" w:hAnsi="Arial" w:cs="Arial"/>
        </w:rPr>
        <w:t>ferirse que: “ Se llama persona jurídica una persona ficticia, capaz de ejercer derechos y contraer obligaciones civiles, y de ser representada judicial y extrajudicialmente.” según contempla el Art. 583 del Código Civil.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Por lo expresado podemos decir </w:t>
      </w:r>
      <w:r>
        <w:rPr>
          <w:rFonts w:ascii="Arial" w:hAnsi="Arial" w:cs="Arial"/>
        </w:rPr>
        <w:t>que la finalidad de la creación de una determinada compañía o empresa  es la obtención de ganancias que le permitan seguir realizando la labor para la cual fue creada de una manera permanente.</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Código Civil clasifica a las sociedades en civiles y come</w:t>
      </w:r>
      <w:r>
        <w:rPr>
          <w:rFonts w:ascii="Arial" w:hAnsi="Arial" w:cs="Arial"/>
        </w:rPr>
        <w:t xml:space="preserve">rciales.  Estas últimas son las que se forman para realizar negocios o actividades que la ley califica como actos de comercio.  Es decir, que es la naturaleza mercantil de los actos que realice una sociedad o compañía la que determina su calificación como </w:t>
      </w:r>
      <w:r>
        <w:rPr>
          <w:rFonts w:ascii="Arial" w:hAnsi="Arial" w:cs="Arial"/>
        </w:rPr>
        <w:t>sociedad comercial, este concepto es reafirmado por la Ley de Compañías.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Todas las demás sociedades son civiles y están reguladas por el Código Civil.  Sin embargo los socios pueden estipular que, aunque la sociedad no sea comercial por naturaleza, se s</w:t>
      </w:r>
      <w:r>
        <w:rPr>
          <w:rFonts w:ascii="Arial" w:hAnsi="Arial" w:cs="Arial"/>
        </w:rPr>
        <w:t>ujete a las reglas de la sociedad comercial.  Y en el caso de las sociedades civiles anónimas, éstas están sujetas a las mismas reglas que las compañías anónimas comerciales.</w:t>
      </w:r>
    </w:p>
    <w:p w:rsidR="00000000" w:rsidRDefault="000E1CA1">
      <w:pPr>
        <w:spacing w:line="480" w:lineRule="auto"/>
        <w:ind w:left="902"/>
        <w:jc w:val="both"/>
        <w:rPr>
          <w:rFonts w:ascii="Arial" w:hAnsi="Arial" w:cs="Arial"/>
        </w:rPr>
      </w:pPr>
      <w:r>
        <w:rPr>
          <w:rFonts w:ascii="Arial" w:hAnsi="Arial" w:cs="Arial"/>
        </w:rPr>
        <w:t>Las compañías de carácter comercial se rigen principalmente por las disposiciones</w:t>
      </w:r>
      <w:r>
        <w:rPr>
          <w:rFonts w:ascii="Arial" w:hAnsi="Arial" w:cs="Arial"/>
        </w:rPr>
        <w:t xml:space="preserve"> de la Ley de Compañías, pero supletoriamente también por las del Código de Comercio y del Código Civil.  Además deberán sujetarse a las normas que las partes contratantes, es decir las que han formado la compañía, hayan acordado y recogido en su estatuto.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ind w:left="902"/>
        <w:jc w:val="both"/>
        <w:rPr>
          <w:rFonts w:ascii="Arial" w:hAnsi="Arial" w:cs="Arial"/>
          <w:b/>
          <w:bCs/>
        </w:rPr>
      </w:pPr>
      <w:r>
        <w:rPr>
          <w:rFonts w:ascii="Arial" w:hAnsi="Arial" w:cs="Arial"/>
          <w:b/>
          <w:bCs/>
        </w:rPr>
        <w:t xml:space="preserve">1.2.2.1  Tipos </w:t>
      </w: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Por su objeto social</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Las compañías o sociedades pueden clasificarse por su aspecto formal, fin común u objeto social en sociedades industriales, comerciales, turísticas, artesanales, agrícolas,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Las compañías pueden tener como </w:t>
      </w:r>
      <w:r>
        <w:rPr>
          <w:rFonts w:ascii="Arial" w:hAnsi="Arial" w:cs="Arial"/>
        </w:rPr>
        <w:t>objeto social la más amplia gama de actividades mercantiles, pero se prohíbe la formación y funcionamiento de compañías contrarias al orden público, a las leyes mercantiles y a las buenas costumbres, de las que no tengan un objeto real y de lícita negociac</w:t>
      </w:r>
      <w:r>
        <w:rPr>
          <w:rFonts w:ascii="Arial" w:hAnsi="Arial" w:cs="Arial"/>
        </w:rPr>
        <w:t>ión y de las que tiendan al monopolio de las subsistencias o de algún ramo de cualquier industria, mediante prácticas orientadas a esa finalidad.</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Por la responsabilidad</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Si tomamos como elemento diferenciador la responsabilidad de los socios, encontramos</w:t>
      </w:r>
      <w:r>
        <w:rPr>
          <w:rFonts w:ascii="Arial" w:hAnsi="Arial" w:cs="Arial"/>
        </w:rPr>
        <w:t xml:space="preserve"> compañías o sociedades con responsabilidad limitada y sociedades con responsabilidad ilimitada.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Por el origen del capital</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razón del origen del capital, las sociedades pueden ser nacionales, extranjeras y mixtas.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En consideración a las personas</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Una de las clasificaciones  más importantes es aquella que se hace entre sociedades de personas y sociedades de capital.  En las primeras prevalece la consideración de las personas que la conforman; tal es el caso de las compañías colectiva, en comandita s</w:t>
      </w:r>
      <w:r>
        <w:rPr>
          <w:rFonts w:ascii="Arial" w:hAnsi="Arial" w:cs="Arial"/>
        </w:rPr>
        <w:t>imple y de responsabilidad limitada.  En cambio, en las sociedades de capital, interesa más el capital que la calidad de los socios; tal es el caso de las compañías anónima, de economía mixta y en comandita por acciones.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3"/>
          <w:numId w:val="21"/>
        </w:numPr>
        <w:spacing w:line="480" w:lineRule="auto"/>
        <w:jc w:val="both"/>
        <w:rPr>
          <w:rFonts w:ascii="Arial" w:hAnsi="Arial" w:cs="Arial"/>
          <w:b/>
          <w:bCs/>
        </w:rPr>
      </w:pPr>
      <w:r>
        <w:rPr>
          <w:rFonts w:ascii="Arial" w:hAnsi="Arial" w:cs="Arial"/>
          <w:b/>
          <w:bCs/>
        </w:rPr>
        <w:t>Clasificación Legal</w:t>
      </w:r>
    </w:p>
    <w:p w:rsidR="00000000" w:rsidRDefault="000E1CA1">
      <w:pPr>
        <w:spacing w:line="480" w:lineRule="auto"/>
        <w:ind w:left="900"/>
        <w:jc w:val="both"/>
        <w:rPr>
          <w:rFonts w:ascii="Arial" w:hAnsi="Arial" w:cs="Arial"/>
        </w:rPr>
      </w:pPr>
      <w:r>
        <w:rPr>
          <w:rFonts w:ascii="Arial" w:hAnsi="Arial" w:cs="Arial"/>
        </w:rPr>
        <w:t>La Ley de</w:t>
      </w:r>
      <w:r>
        <w:rPr>
          <w:rFonts w:ascii="Arial" w:hAnsi="Arial" w:cs="Arial"/>
        </w:rPr>
        <w:t xml:space="preserve"> Compañías contempla específicamente las siguientes especies de compañías: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Compañía en nombre colectivo</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De acuerdo a la Ley de Compañías, es aquella que se forma entre dos o más personas que hacen el comercio bajo una razón social.  La razón social es </w:t>
      </w:r>
      <w:r>
        <w:rPr>
          <w:rFonts w:ascii="Arial" w:hAnsi="Arial" w:cs="Arial"/>
        </w:rPr>
        <w:t>la fórmula enunciativa de los nombres de todos los socios o de alguno de ellos, con la agregación de las palabras “y compañía”.  Sólo los nombres de los socios pueden formar parte de la razón social.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Este tipo de sociedad es de las primeras que apareció</w:t>
      </w:r>
      <w:r>
        <w:rPr>
          <w:rFonts w:ascii="Arial" w:hAnsi="Arial" w:cs="Arial"/>
        </w:rPr>
        <w:t>, formándose principalmente entre padres, hijos y familiares cercanos; pero actualmente esta forma de compañía ha perdido importancia.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spacing w:line="480" w:lineRule="auto"/>
        <w:jc w:val="both"/>
        <w:rPr>
          <w:rFonts w:ascii="Arial" w:hAnsi="Arial" w:cs="Arial"/>
          <w:b/>
          <w:bCs/>
        </w:rPr>
      </w:pPr>
      <w:r>
        <w:rPr>
          <w:rFonts w:ascii="Arial" w:hAnsi="Arial" w:cs="Arial"/>
          <w:b/>
          <w:bCs/>
        </w:rPr>
        <w:t>Compañía en comandita simple</w:t>
      </w:r>
    </w:p>
    <w:p w:rsidR="00000000" w:rsidRDefault="000E1CA1">
      <w:pPr>
        <w:spacing w:line="480" w:lineRule="auto"/>
        <w:ind w:left="902"/>
        <w:jc w:val="both"/>
        <w:rPr>
          <w:rFonts w:ascii="Arial" w:hAnsi="Arial" w:cs="Arial"/>
        </w:rPr>
      </w:pPr>
      <w:r>
        <w:rPr>
          <w:rFonts w:ascii="Arial" w:hAnsi="Arial" w:cs="Arial"/>
        </w:rPr>
        <w:t>La ley de Compañías señala que es aquella que existe bajo una razón social y se contrae e</w:t>
      </w:r>
      <w:r>
        <w:rPr>
          <w:rFonts w:ascii="Arial" w:hAnsi="Arial" w:cs="Arial"/>
        </w:rPr>
        <w:t>ntre uno o varios socios, solidaria e ilimitadamente responsables, y otro u otros, simples suministradores de fondos, llamados socios comanditarios, cuya responsabilidad se limita al monto de sus aportes.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razón social será necesariamente el nombre de</w:t>
      </w:r>
      <w:r>
        <w:rPr>
          <w:rFonts w:ascii="Arial" w:hAnsi="Arial" w:cs="Arial"/>
        </w:rPr>
        <w:t xml:space="preserve"> uno o varios de los socios solidariamente responsables a la que se le agregará las palabras “ en comandita”.  El comanditario que tolere incluir su nombre en la razón social quedará solidaria e ilimitadamente responsable de las obligaciones de la compañía</w:t>
      </w:r>
      <w:r>
        <w:rPr>
          <w:rFonts w:ascii="Arial" w:hAnsi="Arial" w:cs="Arial"/>
        </w:rPr>
        <w:t>.  También esta forma ha caído en desuso.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pStyle w:val="Ttulo2"/>
        <w:numPr>
          <w:ilvl w:val="0"/>
          <w:numId w:val="8"/>
        </w:numPr>
        <w:rPr>
          <w:rFonts w:ascii="Arial" w:hAnsi="Arial" w:cs="Arial"/>
        </w:rPr>
      </w:pPr>
      <w:r>
        <w:rPr>
          <w:rFonts w:ascii="Arial" w:hAnsi="Arial" w:cs="Arial"/>
        </w:rPr>
        <w:t>Compañía en comandita por acciones</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Esta compañía es similar a la compañía en comandita simple con la diferencia de que su capital se divide en acciones.  De todos modos la décima parte del capital de esta compa</w:t>
      </w:r>
      <w:r>
        <w:rPr>
          <w:rFonts w:ascii="Arial" w:hAnsi="Arial" w:cs="Arial"/>
        </w:rPr>
        <w:t>ñía, por lo menos, debe ser aportada por los socios comanditados o solidariamente responsables, a quienes por sus acciones se les entregará certificados nominativos e intransferibles.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Compañía de responsabilidad limitada</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 la que se contrae entre tres</w:t>
      </w:r>
      <w:r>
        <w:rPr>
          <w:rFonts w:ascii="Arial" w:hAnsi="Arial" w:cs="Arial"/>
        </w:rPr>
        <w:t xml:space="preserve"> o más personas que solamente responden por las obligaciones sociales hasta el monto de sus aportaciones individuales y hacen el comercio bajo una razón social o denominación objetiva, a la que se añadirá las palabras “compañía limitada” o su abreviatura. </w:t>
      </w:r>
      <w:r>
        <w:rPr>
          <w:rFonts w:ascii="Arial" w:hAnsi="Arial" w:cs="Arial"/>
        </w:rPr>
        <w:t xml:space="preserve"> Esta forma es actualmente una de las más utilizadas.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Compañía o sociedad anónima</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Es una compañía cuyo capital, dividido en acciones negociables, está formado por la aportación de los accionistas, que responden únicamente por el monto de sus acciones. </w:t>
      </w:r>
      <w:r>
        <w:rPr>
          <w:rFonts w:ascii="Arial" w:hAnsi="Arial" w:cs="Arial"/>
        </w:rPr>
        <w:t xml:space="preserve"> Este tipo de compañía es el más divulgado y el más  propicio al desarrollo de las actividades económicas.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jc w:val="both"/>
        <w:rPr>
          <w:rFonts w:ascii="Arial" w:hAnsi="Arial" w:cs="Arial"/>
          <w:b/>
          <w:bCs/>
        </w:rPr>
      </w:pPr>
      <w:r>
        <w:rPr>
          <w:rFonts w:ascii="Arial" w:hAnsi="Arial" w:cs="Arial"/>
          <w:b/>
          <w:bCs/>
        </w:rPr>
        <w:t>Compañía de economía mixta</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 aquella que se forma con el concurso de capital privado y con la participación del Estado, municipalidades, conse</w:t>
      </w:r>
      <w:r>
        <w:rPr>
          <w:rFonts w:ascii="Arial" w:hAnsi="Arial" w:cs="Arial"/>
        </w:rPr>
        <w:t>jos provinciales o personas jurídicas semipúblicas o públicas.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8"/>
        </w:numPr>
        <w:spacing w:line="480" w:lineRule="auto"/>
        <w:jc w:val="both"/>
        <w:rPr>
          <w:rFonts w:ascii="Arial" w:hAnsi="Arial" w:cs="Arial"/>
          <w:b/>
          <w:bCs/>
        </w:rPr>
      </w:pPr>
      <w:r>
        <w:rPr>
          <w:rFonts w:ascii="Arial" w:hAnsi="Arial" w:cs="Arial"/>
          <w:b/>
          <w:bCs/>
        </w:rPr>
        <w:t>Compañía accidental o cuentas en participación</w:t>
      </w:r>
    </w:p>
    <w:p w:rsidR="00000000" w:rsidRDefault="000E1CA1">
      <w:pPr>
        <w:spacing w:line="480" w:lineRule="auto"/>
        <w:ind w:left="902"/>
        <w:jc w:val="both"/>
        <w:rPr>
          <w:rFonts w:ascii="Arial" w:hAnsi="Arial" w:cs="Arial"/>
        </w:rPr>
      </w:pPr>
      <w:r>
        <w:rPr>
          <w:rFonts w:ascii="Arial" w:hAnsi="Arial" w:cs="Arial"/>
        </w:rPr>
        <w:t>Es aquella en que un comerciante da a una o más personas participación en las utilidades o pérdidas de una o más operaciones o de todo su comer</w:t>
      </w:r>
      <w:r>
        <w:rPr>
          <w:rFonts w:ascii="Arial" w:hAnsi="Arial" w:cs="Arial"/>
        </w:rPr>
        <w:t>cio; pero puede también tener lugar en operaciones mercantiles hechas por no comerciantes.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Estas asociaciones carecen de personalidad jurídica y están exentas de las formalidades establecidas para las demás compañías, pudiendo establecerse por escritura</w:t>
      </w:r>
      <w:r>
        <w:rPr>
          <w:rFonts w:ascii="Arial" w:hAnsi="Arial" w:cs="Arial"/>
        </w:rPr>
        <w:t xml:space="preserve"> pública o contrato privado.</w:t>
      </w:r>
    </w:p>
    <w:p w:rsidR="00000000" w:rsidRDefault="000E1CA1">
      <w:pPr>
        <w:ind w:left="902"/>
        <w:jc w:val="both"/>
        <w:rPr>
          <w:rFonts w:ascii="Arial" w:hAnsi="Arial" w:cs="Arial"/>
          <w:b/>
          <w:bCs/>
        </w:rPr>
      </w:pPr>
    </w:p>
    <w:p w:rsidR="00000000" w:rsidRDefault="000E1CA1">
      <w:pPr>
        <w:ind w:left="902"/>
        <w:jc w:val="both"/>
        <w:rPr>
          <w:rFonts w:ascii="Arial" w:hAnsi="Arial" w:cs="Arial"/>
          <w:b/>
          <w:bCs/>
        </w:rPr>
      </w:pPr>
    </w:p>
    <w:p w:rsidR="00000000" w:rsidRDefault="000E1CA1">
      <w:pPr>
        <w:ind w:left="902"/>
        <w:jc w:val="both"/>
        <w:rPr>
          <w:rFonts w:ascii="Arial" w:hAnsi="Arial" w:cs="Arial"/>
          <w:b/>
          <w:bCs/>
        </w:rPr>
      </w:pPr>
    </w:p>
    <w:p w:rsidR="00000000" w:rsidRDefault="000E1CA1" w:rsidP="000E1CA1">
      <w:pPr>
        <w:numPr>
          <w:ilvl w:val="0"/>
          <w:numId w:val="8"/>
        </w:numPr>
        <w:jc w:val="both"/>
        <w:rPr>
          <w:rFonts w:ascii="Arial" w:hAnsi="Arial" w:cs="Arial"/>
          <w:b/>
          <w:bCs/>
        </w:rPr>
      </w:pPr>
      <w:r>
        <w:rPr>
          <w:rFonts w:ascii="Arial" w:hAnsi="Arial" w:cs="Arial"/>
          <w:b/>
          <w:bCs/>
        </w:rPr>
        <w:t>Compañía holding o tenedora de acciones</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 la que tiene por objeto la compra de acciones o participaciones de otras compañías, con la finalidad de vincularlas y ejercer su control a través de vínculos de propiedad accionari</w:t>
      </w:r>
      <w:r>
        <w:rPr>
          <w:rFonts w:ascii="Arial" w:hAnsi="Arial" w:cs="Arial"/>
        </w:rPr>
        <w:t>a, gestión, administración, responsabilidad crediticia o resultados y conformar así un grupo empresarial.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4"/>
        <w:spacing w:line="480" w:lineRule="auto"/>
        <w:ind w:left="357" w:firstLine="0"/>
        <w:rPr>
          <w:rFonts w:ascii="Arial" w:hAnsi="Arial" w:cs="Arial"/>
        </w:rPr>
      </w:pPr>
      <w:r>
        <w:rPr>
          <w:rFonts w:ascii="Arial" w:hAnsi="Arial" w:cs="Arial"/>
        </w:rPr>
        <w:t>1.3   Superintendencia de Compañías</w:t>
      </w:r>
    </w:p>
    <w:p w:rsidR="00000000" w:rsidRDefault="000E1CA1">
      <w:pPr>
        <w:spacing w:line="480" w:lineRule="auto"/>
        <w:ind w:left="902"/>
        <w:jc w:val="both"/>
        <w:rPr>
          <w:rFonts w:ascii="Arial" w:hAnsi="Arial" w:cs="Arial"/>
        </w:rPr>
      </w:pPr>
      <w:r>
        <w:rPr>
          <w:rFonts w:ascii="Arial" w:hAnsi="Arial" w:cs="Arial"/>
        </w:rPr>
        <w:t>La Ley de Compañías es una ley especial porque regula cierta clase de fenómenos, no le interesa la actividad qu</w:t>
      </w:r>
      <w:r>
        <w:rPr>
          <w:rFonts w:ascii="Arial" w:hAnsi="Arial" w:cs="Arial"/>
        </w:rPr>
        <w:t>e desarrolle el empresario individualmente, pues esto le interesa al Código de Comercio, pero a la Ley de Compañías o derecho Societario le interesa el empresario unido a la sociedad.  Los organismos controladores son la Superintendencia de Compañías y las</w:t>
      </w:r>
      <w:r>
        <w:rPr>
          <w:rFonts w:ascii="Arial" w:hAnsi="Arial" w:cs="Arial"/>
        </w:rPr>
        <w:t xml:space="preserve"> Cámaras de Comercio.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Con la promulgación de la Ley de Compañías, el 20 de abril de 1964 comenzó a funcionar la Intendencia de Compañías Anónimas, como departamento adscrito a la Superintendencia de Bancos.  Para cumplir los cometidos asignados a la cit</w:t>
      </w:r>
      <w:r>
        <w:rPr>
          <w:rFonts w:ascii="Arial" w:hAnsi="Arial" w:cs="Arial"/>
        </w:rPr>
        <w:t>ada Intendencia se crea la Subintendencia del ramo y una oficina administrativa en las ciudades de Guayaquil y Cuenca respectivamente, las mismas que se transformaron luego en Intendencias; mientras tanto en Quito se estructuró la Superintendencia de Compa</w:t>
      </w:r>
      <w:r>
        <w:rPr>
          <w:rFonts w:ascii="Arial" w:hAnsi="Arial" w:cs="Arial"/>
        </w:rPr>
        <w:t>ñías, esto es el primero de junio de 1967.</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 </w:t>
      </w:r>
      <w:r>
        <w:rPr>
          <w:rFonts w:ascii="Arial" w:hAnsi="Arial" w:cs="Arial"/>
          <w:b/>
          <w:bCs/>
        </w:rPr>
        <w:t>Superintendencia de Compañías</w:t>
      </w:r>
      <w:r>
        <w:rPr>
          <w:rFonts w:ascii="Arial" w:hAnsi="Arial" w:cs="Arial"/>
        </w:rPr>
        <w:t xml:space="preserve"> es el ente público que le corresponde la vigilancia y control de las compañías nacionales anónimas, en comandita por acciones, de economía mixta, de sucursales u otras empresas </w:t>
      </w:r>
      <w:r>
        <w:rPr>
          <w:rFonts w:ascii="Arial" w:hAnsi="Arial" w:cs="Arial"/>
        </w:rPr>
        <w:t>extranjeras y las asociaciones que éstas formen, y que ejerzan sus actividades en el Ecuador, compañías de responsabilidad limitada, de las compañías emisoras de valores que se inscriban en el registro del mercado de valores, las compañías holding que volu</w:t>
      </w:r>
      <w:r>
        <w:rPr>
          <w:rFonts w:ascii="Arial" w:hAnsi="Arial" w:cs="Arial"/>
        </w:rPr>
        <w:t>ntariamente hubieren conformado grupos empresariales; las bolsas de valores, sus agentes y apoderados y demás sociedades reguladas por la Ley de Mercado de Valores.  Quedan exceptuadas las compañías que en virtud de leyes especiales se encuentran sujetas a</w:t>
      </w:r>
      <w:r>
        <w:rPr>
          <w:rFonts w:ascii="Arial" w:hAnsi="Arial" w:cs="Arial"/>
        </w:rPr>
        <w:t>l control de la Superintendencia de Bancos.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El control que ejerce la Superintendencia de Compañías es total y parcial.  El control total comprende los aspectos jurídicos, societarios, económicos, financieros y contables.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control parcial se refie</w:t>
      </w:r>
      <w:r>
        <w:rPr>
          <w:rFonts w:ascii="Arial" w:hAnsi="Arial" w:cs="Arial"/>
        </w:rPr>
        <w:t>re a la aprobación o negación que la Superintendencia de Compañías debe efectuar a la constitución de las sociedades y cualquiera  de los actos societarios, a la declaración de inactividad, de disolución y liquidación y a todo lo relacionado con dichos pro</w:t>
      </w:r>
      <w:r>
        <w:rPr>
          <w:rFonts w:ascii="Arial" w:hAnsi="Arial" w:cs="Arial"/>
        </w:rPr>
        <w:t>cesos. La Superintendencia de Compañías ejerce vigilancia y control parcial respecto de las demás compañías que no estén comprendidas en el control total. Las compañías sujetas a control parcial sólo remitirán anualmente a esta Superintendencia sus estados</w:t>
      </w:r>
      <w:r>
        <w:rPr>
          <w:rFonts w:ascii="Arial" w:hAnsi="Arial" w:cs="Arial"/>
        </w:rPr>
        <w:t xml:space="preserve"> de situación financiera y de pérdidas y ganancias.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Las compañías sujetas al control y vigilancia de la Superintendencia de Compañías deben cumplir con las siguientes obligaciones: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rsidP="000E1CA1">
      <w:pPr>
        <w:pStyle w:val="Textoindependiente"/>
        <w:numPr>
          <w:ilvl w:val="0"/>
          <w:numId w:val="4"/>
        </w:numPr>
        <w:spacing w:line="480" w:lineRule="auto"/>
        <w:ind w:left="1621" w:hanging="357"/>
        <w:rPr>
          <w:rFonts w:ascii="Arial" w:hAnsi="Arial" w:cs="Arial"/>
        </w:rPr>
      </w:pPr>
      <w:r>
        <w:rPr>
          <w:rFonts w:ascii="Arial" w:hAnsi="Arial" w:cs="Arial"/>
        </w:rPr>
        <w:t>Presentación de estados financieros y demás información. Todas las co</w:t>
      </w:r>
      <w:r>
        <w:rPr>
          <w:rFonts w:ascii="Arial" w:hAnsi="Arial" w:cs="Arial"/>
        </w:rPr>
        <w:t>mpañías remitirán a la Institución, dentro del primer cuatrimestre de cada año los documentes previstos.</w:t>
      </w: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rsidP="000E1CA1">
      <w:pPr>
        <w:pStyle w:val="Textoindependiente"/>
        <w:numPr>
          <w:ilvl w:val="0"/>
          <w:numId w:val="4"/>
        </w:numPr>
        <w:spacing w:line="480" w:lineRule="auto"/>
        <w:rPr>
          <w:rFonts w:ascii="Arial" w:hAnsi="Arial" w:cs="Arial"/>
        </w:rPr>
      </w:pPr>
      <w:r>
        <w:rPr>
          <w:rFonts w:ascii="Arial" w:hAnsi="Arial" w:cs="Arial"/>
        </w:rPr>
        <w:t>Pago de contribuciones.  Las contribuciones a pagar por parte de las compañías se fijan anualmente.  Este pago se realiza mediante depósito en la cu</w:t>
      </w:r>
      <w:r>
        <w:rPr>
          <w:rFonts w:ascii="Arial" w:hAnsi="Arial" w:cs="Arial"/>
        </w:rPr>
        <w:t>enta corriente de la Superintendencia.</w:t>
      </w:r>
    </w:p>
    <w:p w:rsidR="00000000" w:rsidRDefault="000E1CA1">
      <w:pPr>
        <w:ind w:left="902"/>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4"/>
        </w:numPr>
        <w:spacing w:line="480" w:lineRule="auto"/>
        <w:ind w:left="1621" w:hanging="357"/>
        <w:jc w:val="both"/>
        <w:rPr>
          <w:rFonts w:ascii="Arial" w:hAnsi="Arial" w:cs="Arial"/>
        </w:rPr>
      </w:pPr>
      <w:r>
        <w:rPr>
          <w:rFonts w:ascii="Arial" w:hAnsi="Arial" w:cs="Arial"/>
        </w:rPr>
        <w:t>Las compañías de responsabilidad limitada, cuyos activos sean menores de doscientos mil sucres no están sujetas al pago de contribuciones. Las compañías en las que el 50% o más del capital social estuviere represen</w:t>
      </w:r>
      <w:r>
        <w:rPr>
          <w:rFonts w:ascii="Arial" w:hAnsi="Arial" w:cs="Arial"/>
        </w:rPr>
        <w:t>tado por acciones pertenecientes del Estado y las de economía mixta, pagan la mitad de las contribuciones.  La mora en el pago de contribuciones da lugar al cobro de intereses y multas.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Los resultados de las inspecciones dispuestas por la Superintendenci</w:t>
      </w:r>
      <w:r>
        <w:rPr>
          <w:rFonts w:ascii="Arial" w:hAnsi="Arial" w:cs="Arial"/>
        </w:rPr>
        <w:t xml:space="preserve">a de Compañías constan en informes. Las conclusiones u observaciones se notifican por escrito a los representantes legales, al presidente si no tuviere tal representación y a los comisarios, concediendo un término de hasta treinta días, para que respondan </w:t>
      </w:r>
      <w:r>
        <w:rPr>
          <w:rFonts w:ascii="Arial" w:hAnsi="Arial" w:cs="Arial"/>
        </w:rPr>
        <w:t>por escrito acerca de las observaciones formuladas y se presenten los documentos de descargo.  La falta de respuesta por escrito a las observaciones notificadas, es motivo para que se sancione a las compañías de acuerdo con lo dispuesto en la Ley.</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Sangra2detindependiente"/>
      </w:pPr>
      <w:r>
        <w:t>Estas</w:t>
      </w:r>
      <w:r>
        <w:t xml:space="preserve"> compañías se encuentran identificadas por actividad económica de acuerdo a la Clasificación Industrial Internacional Uniforme de las Naciones Unidas, versión II y está dada así: Agricultura, Minas y Canteras, Industrias, Electricidad, Construcción, Comerc</w:t>
      </w:r>
      <w:r>
        <w:t>io, Transporte, Servicios a empresas, Servicios personales, las cuales a su vez se subdividen en:</w:t>
      </w:r>
    </w:p>
    <w:p w:rsidR="00000000" w:rsidRDefault="000E1CA1">
      <w:pPr>
        <w:ind w:left="902"/>
        <w:jc w:val="both"/>
        <w:rPr>
          <w:rFonts w:ascii="Arial" w:hAnsi="Arial" w:cs="Arial"/>
        </w:rPr>
      </w:pPr>
    </w:p>
    <w:p w:rsidR="00000000" w:rsidRDefault="000E1CA1">
      <w:pPr>
        <w:pStyle w:val="Ttulo8"/>
        <w:rPr>
          <w:b/>
          <w:bCs/>
        </w:rPr>
      </w:pPr>
      <w:r>
        <w:rPr>
          <w:b/>
          <w:bCs/>
        </w:rPr>
        <w:t>Rama 1:  Agricultura</w:t>
      </w:r>
    </w:p>
    <w:p w:rsidR="00000000" w:rsidRDefault="000E1CA1">
      <w:pPr>
        <w:ind w:left="902"/>
        <w:jc w:val="both"/>
        <w:rPr>
          <w:rFonts w:ascii="Arial" w:hAnsi="Arial" w:cs="Arial"/>
        </w:rPr>
      </w:pPr>
    </w:p>
    <w:p w:rsidR="00000000" w:rsidRDefault="000E1CA1" w:rsidP="000E1CA1">
      <w:pPr>
        <w:numPr>
          <w:ilvl w:val="0"/>
          <w:numId w:val="23"/>
        </w:numPr>
        <w:spacing w:line="480" w:lineRule="auto"/>
        <w:jc w:val="both"/>
        <w:rPr>
          <w:rFonts w:ascii="Arial" w:hAnsi="Arial" w:cs="Arial"/>
        </w:rPr>
      </w:pPr>
      <w:r>
        <w:rPr>
          <w:rFonts w:ascii="Arial" w:hAnsi="Arial" w:cs="Arial"/>
        </w:rPr>
        <w:t>Agricultura y caza</w:t>
      </w:r>
    </w:p>
    <w:p w:rsidR="00000000" w:rsidRDefault="000E1CA1" w:rsidP="000E1CA1">
      <w:pPr>
        <w:numPr>
          <w:ilvl w:val="0"/>
          <w:numId w:val="22"/>
        </w:numPr>
        <w:spacing w:line="480" w:lineRule="auto"/>
        <w:jc w:val="both"/>
        <w:rPr>
          <w:rFonts w:ascii="Arial" w:hAnsi="Arial" w:cs="Arial"/>
        </w:rPr>
      </w:pPr>
      <w:r>
        <w:rPr>
          <w:rFonts w:ascii="Arial" w:hAnsi="Arial" w:cs="Arial"/>
        </w:rPr>
        <w:t>Silvicultura y Extracción de Madera</w:t>
      </w:r>
    </w:p>
    <w:p w:rsidR="00000000" w:rsidRDefault="000E1CA1" w:rsidP="000E1CA1">
      <w:pPr>
        <w:numPr>
          <w:ilvl w:val="0"/>
          <w:numId w:val="22"/>
        </w:numPr>
        <w:spacing w:line="480" w:lineRule="auto"/>
        <w:jc w:val="both"/>
        <w:rPr>
          <w:rFonts w:ascii="Arial" w:hAnsi="Arial" w:cs="Arial"/>
        </w:rPr>
      </w:pPr>
      <w:r>
        <w:rPr>
          <w:rFonts w:ascii="Arial" w:hAnsi="Arial" w:cs="Arial"/>
        </w:rPr>
        <w:t>Pesca</w:t>
      </w:r>
    </w:p>
    <w:p w:rsidR="00000000" w:rsidRDefault="000E1CA1">
      <w:pPr>
        <w:pStyle w:val="Ttulo8"/>
        <w:rPr>
          <w:b/>
          <w:bCs/>
        </w:rPr>
      </w:pPr>
      <w:r>
        <w:rPr>
          <w:b/>
          <w:bCs/>
        </w:rPr>
        <w:t>Rama 2: Minas y Canteras</w:t>
      </w:r>
    </w:p>
    <w:p w:rsidR="00000000" w:rsidRDefault="000E1CA1">
      <w:pPr>
        <w:ind w:left="902"/>
        <w:jc w:val="both"/>
        <w:rPr>
          <w:rFonts w:ascii="Arial" w:hAnsi="Arial" w:cs="Arial"/>
        </w:rPr>
      </w:pPr>
    </w:p>
    <w:p w:rsidR="00000000" w:rsidRDefault="000E1CA1" w:rsidP="000E1CA1">
      <w:pPr>
        <w:numPr>
          <w:ilvl w:val="0"/>
          <w:numId w:val="24"/>
        </w:numPr>
        <w:spacing w:line="480" w:lineRule="auto"/>
        <w:jc w:val="both"/>
        <w:rPr>
          <w:rFonts w:ascii="Arial" w:hAnsi="Arial" w:cs="Arial"/>
        </w:rPr>
      </w:pPr>
      <w:r>
        <w:rPr>
          <w:rFonts w:ascii="Arial" w:hAnsi="Arial" w:cs="Arial"/>
        </w:rPr>
        <w:t>Explotación de Minas de Carbón</w:t>
      </w:r>
    </w:p>
    <w:p w:rsidR="00000000" w:rsidRDefault="000E1CA1" w:rsidP="000E1CA1">
      <w:pPr>
        <w:numPr>
          <w:ilvl w:val="0"/>
          <w:numId w:val="24"/>
        </w:numPr>
        <w:spacing w:line="480" w:lineRule="auto"/>
        <w:jc w:val="both"/>
        <w:rPr>
          <w:rFonts w:ascii="Arial" w:hAnsi="Arial" w:cs="Arial"/>
        </w:rPr>
      </w:pPr>
      <w:r>
        <w:rPr>
          <w:rFonts w:ascii="Arial" w:hAnsi="Arial" w:cs="Arial"/>
        </w:rPr>
        <w:t>Producción de Pet</w:t>
      </w:r>
      <w:r>
        <w:rPr>
          <w:rFonts w:ascii="Arial" w:hAnsi="Arial" w:cs="Arial"/>
        </w:rPr>
        <w:t>róleo Crudo y gas natural</w:t>
      </w:r>
    </w:p>
    <w:p w:rsidR="00000000" w:rsidRDefault="000E1CA1" w:rsidP="000E1CA1">
      <w:pPr>
        <w:numPr>
          <w:ilvl w:val="0"/>
          <w:numId w:val="24"/>
        </w:numPr>
        <w:spacing w:line="480" w:lineRule="auto"/>
        <w:jc w:val="both"/>
        <w:rPr>
          <w:rFonts w:ascii="Arial" w:hAnsi="Arial" w:cs="Arial"/>
        </w:rPr>
      </w:pPr>
      <w:r>
        <w:rPr>
          <w:rFonts w:ascii="Arial" w:hAnsi="Arial" w:cs="Arial"/>
        </w:rPr>
        <w:t>Extracción de minerales metálicos</w:t>
      </w:r>
    </w:p>
    <w:p w:rsidR="00000000" w:rsidRDefault="000E1CA1" w:rsidP="000E1CA1">
      <w:pPr>
        <w:numPr>
          <w:ilvl w:val="0"/>
          <w:numId w:val="24"/>
        </w:numPr>
        <w:spacing w:line="480" w:lineRule="auto"/>
        <w:jc w:val="both"/>
        <w:rPr>
          <w:rFonts w:ascii="Arial" w:hAnsi="Arial" w:cs="Arial"/>
        </w:rPr>
      </w:pPr>
      <w:r>
        <w:rPr>
          <w:rFonts w:ascii="Arial" w:hAnsi="Arial" w:cs="Arial"/>
        </w:rPr>
        <w:t>Extracción de otros minerales</w:t>
      </w:r>
    </w:p>
    <w:p w:rsidR="00000000" w:rsidRDefault="000E1CA1">
      <w:pPr>
        <w:ind w:left="902"/>
        <w:jc w:val="both"/>
        <w:rPr>
          <w:rFonts w:ascii="Arial" w:hAnsi="Arial" w:cs="Arial"/>
        </w:rPr>
      </w:pPr>
    </w:p>
    <w:p w:rsidR="00000000" w:rsidRDefault="000E1CA1">
      <w:pPr>
        <w:ind w:left="902"/>
        <w:jc w:val="both"/>
        <w:rPr>
          <w:rFonts w:ascii="Arial" w:hAnsi="Arial" w:cs="Arial"/>
          <w:b/>
          <w:bCs/>
          <w:i/>
          <w:iCs/>
        </w:rPr>
      </w:pPr>
      <w:r>
        <w:rPr>
          <w:rFonts w:ascii="Arial" w:hAnsi="Arial" w:cs="Arial"/>
          <w:b/>
          <w:bCs/>
          <w:i/>
          <w:iCs/>
        </w:rPr>
        <w:t xml:space="preserve">Rama 3: Industrias </w:t>
      </w:r>
    </w:p>
    <w:p w:rsidR="00000000" w:rsidRDefault="000E1CA1">
      <w:pPr>
        <w:ind w:left="902"/>
        <w:jc w:val="both"/>
        <w:rPr>
          <w:rFonts w:ascii="Arial" w:hAnsi="Arial" w:cs="Arial"/>
        </w:rPr>
      </w:pP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Productos alimenticios, bebidas y tabaco</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Textiles, prendas de vestir e industria del cuero</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Industria e la madera y productos de la madera (inclu</w:t>
      </w:r>
      <w:r>
        <w:rPr>
          <w:rFonts w:ascii="Arial" w:hAnsi="Arial" w:cs="Arial"/>
        </w:rPr>
        <w:t>idos muebles)</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Fabricación de papel y productos de papel (imprentas y editoriales)</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 xml:space="preserve">Fabricación de sustancias químicas y de productos </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Fabricación de productos minerales no metálicos</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Industrias básicas del hierro y acero</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Fabricación de productos metálicos, m</w:t>
      </w:r>
      <w:r>
        <w:rPr>
          <w:rFonts w:ascii="Arial" w:hAnsi="Arial" w:cs="Arial"/>
        </w:rPr>
        <w:t>aquinaria y equipo</w:t>
      </w:r>
    </w:p>
    <w:p w:rsidR="00000000" w:rsidRDefault="000E1CA1" w:rsidP="000E1CA1">
      <w:pPr>
        <w:numPr>
          <w:ilvl w:val="0"/>
          <w:numId w:val="25"/>
        </w:numPr>
        <w:spacing w:line="480" w:lineRule="auto"/>
        <w:ind w:left="1621" w:hanging="357"/>
        <w:jc w:val="both"/>
        <w:rPr>
          <w:rFonts w:ascii="Arial" w:hAnsi="Arial" w:cs="Arial"/>
        </w:rPr>
      </w:pPr>
      <w:r>
        <w:rPr>
          <w:rFonts w:ascii="Arial" w:hAnsi="Arial" w:cs="Arial"/>
        </w:rPr>
        <w:t>Otras industrias manufactureras</w:t>
      </w:r>
    </w:p>
    <w:p w:rsidR="00000000" w:rsidRDefault="000E1CA1">
      <w:pPr>
        <w:ind w:left="902"/>
        <w:jc w:val="both"/>
        <w:rPr>
          <w:rFonts w:ascii="Arial" w:hAnsi="Arial" w:cs="Arial"/>
        </w:rPr>
      </w:pPr>
    </w:p>
    <w:p w:rsidR="00000000" w:rsidRDefault="000E1CA1">
      <w:pPr>
        <w:pStyle w:val="Ttulo9"/>
      </w:pPr>
      <w:r>
        <w:t>Rama 4: Electricidad</w:t>
      </w:r>
    </w:p>
    <w:p w:rsidR="00000000" w:rsidRDefault="000E1CA1">
      <w:pPr>
        <w:ind w:left="902"/>
        <w:jc w:val="both"/>
        <w:rPr>
          <w:rFonts w:ascii="Arial" w:hAnsi="Arial" w:cs="Arial"/>
        </w:rPr>
      </w:pPr>
    </w:p>
    <w:p w:rsidR="00000000" w:rsidRDefault="000E1CA1" w:rsidP="000E1CA1">
      <w:pPr>
        <w:numPr>
          <w:ilvl w:val="0"/>
          <w:numId w:val="26"/>
        </w:numPr>
        <w:spacing w:line="480" w:lineRule="auto"/>
        <w:jc w:val="both"/>
        <w:rPr>
          <w:rFonts w:ascii="Arial" w:hAnsi="Arial" w:cs="Arial"/>
        </w:rPr>
      </w:pPr>
      <w:r>
        <w:rPr>
          <w:rFonts w:ascii="Arial" w:hAnsi="Arial" w:cs="Arial"/>
        </w:rPr>
        <w:t>Electricidad, gas y vapor</w:t>
      </w:r>
    </w:p>
    <w:p w:rsidR="00000000" w:rsidRDefault="000E1CA1" w:rsidP="000E1CA1">
      <w:pPr>
        <w:numPr>
          <w:ilvl w:val="0"/>
          <w:numId w:val="26"/>
        </w:numPr>
        <w:spacing w:line="480" w:lineRule="auto"/>
        <w:jc w:val="both"/>
        <w:rPr>
          <w:rFonts w:ascii="Arial" w:hAnsi="Arial" w:cs="Arial"/>
        </w:rPr>
      </w:pPr>
      <w:r>
        <w:rPr>
          <w:rFonts w:ascii="Arial" w:hAnsi="Arial" w:cs="Arial"/>
        </w:rPr>
        <w:t>Obras hidráulicas y suministros de agua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Ttulo9"/>
      </w:pPr>
      <w:r>
        <w:t>Rama 5: Construcción</w:t>
      </w:r>
    </w:p>
    <w:p w:rsidR="00000000" w:rsidRDefault="000E1CA1">
      <w:pPr>
        <w:ind w:left="902"/>
        <w:jc w:val="both"/>
        <w:rPr>
          <w:rFonts w:ascii="Arial" w:hAnsi="Arial" w:cs="Arial"/>
          <w:b/>
          <w:bCs/>
          <w:i/>
          <w:iCs/>
        </w:rPr>
      </w:pPr>
    </w:p>
    <w:p w:rsidR="00000000" w:rsidRDefault="000E1CA1" w:rsidP="000E1CA1">
      <w:pPr>
        <w:numPr>
          <w:ilvl w:val="0"/>
          <w:numId w:val="27"/>
        </w:numPr>
        <w:spacing w:line="480" w:lineRule="auto"/>
        <w:ind w:left="1621" w:hanging="357"/>
        <w:jc w:val="both"/>
        <w:rPr>
          <w:rFonts w:ascii="Arial" w:hAnsi="Arial" w:cs="Arial"/>
        </w:rPr>
      </w:pPr>
      <w:r>
        <w:rPr>
          <w:rFonts w:ascii="Arial" w:hAnsi="Arial" w:cs="Arial"/>
        </w:rPr>
        <w:t>Construcción</w:t>
      </w:r>
    </w:p>
    <w:p w:rsidR="00000000" w:rsidRDefault="000E1CA1">
      <w:pPr>
        <w:jc w:val="both"/>
        <w:rPr>
          <w:rFonts w:ascii="Arial" w:hAnsi="Arial" w:cs="Arial"/>
        </w:rPr>
      </w:pPr>
    </w:p>
    <w:p w:rsidR="00000000" w:rsidRDefault="000E1CA1">
      <w:pPr>
        <w:pStyle w:val="Ttulo9"/>
      </w:pPr>
      <w:r>
        <w:t xml:space="preserve">Rama 6: Comercio </w:t>
      </w:r>
    </w:p>
    <w:p w:rsidR="00000000" w:rsidRDefault="000E1CA1">
      <w:pPr>
        <w:ind w:left="902"/>
        <w:jc w:val="both"/>
        <w:rPr>
          <w:rFonts w:ascii="Arial" w:hAnsi="Arial" w:cs="Arial"/>
        </w:rPr>
      </w:pPr>
    </w:p>
    <w:p w:rsidR="00000000" w:rsidRDefault="000E1CA1" w:rsidP="000E1CA1">
      <w:pPr>
        <w:numPr>
          <w:ilvl w:val="0"/>
          <w:numId w:val="27"/>
        </w:numPr>
        <w:spacing w:line="480" w:lineRule="auto"/>
        <w:ind w:left="1621" w:hanging="357"/>
        <w:jc w:val="both"/>
        <w:rPr>
          <w:rFonts w:ascii="Arial" w:hAnsi="Arial" w:cs="Arial"/>
        </w:rPr>
      </w:pPr>
      <w:r>
        <w:rPr>
          <w:rFonts w:ascii="Arial" w:hAnsi="Arial" w:cs="Arial"/>
        </w:rPr>
        <w:t>Comercio al por mayor</w:t>
      </w:r>
    </w:p>
    <w:p w:rsidR="00000000" w:rsidRDefault="000E1CA1" w:rsidP="000E1CA1">
      <w:pPr>
        <w:numPr>
          <w:ilvl w:val="0"/>
          <w:numId w:val="27"/>
        </w:numPr>
        <w:spacing w:line="480" w:lineRule="auto"/>
        <w:ind w:left="1621" w:hanging="357"/>
        <w:jc w:val="both"/>
        <w:rPr>
          <w:rFonts w:ascii="Arial" w:hAnsi="Arial" w:cs="Arial"/>
        </w:rPr>
      </w:pPr>
      <w:r>
        <w:rPr>
          <w:rFonts w:ascii="Arial" w:hAnsi="Arial" w:cs="Arial"/>
        </w:rPr>
        <w:t>Comercio al por menor</w:t>
      </w:r>
    </w:p>
    <w:p w:rsidR="00000000" w:rsidRDefault="000E1CA1" w:rsidP="000E1CA1">
      <w:pPr>
        <w:numPr>
          <w:ilvl w:val="0"/>
          <w:numId w:val="27"/>
        </w:numPr>
        <w:spacing w:line="480" w:lineRule="auto"/>
        <w:ind w:left="1621" w:hanging="357"/>
        <w:jc w:val="both"/>
        <w:rPr>
          <w:rFonts w:ascii="Arial" w:hAnsi="Arial" w:cs="Arial"/>
        </w:rPr>
      </w:pPr>
      <w:r>
        <w:rPr>
          <w:rFonts w:ascii="Arial" w:hAnsi="Arial" w:cs="Arial"/>
        </w:rPr>
        <w:t xml:space="preserve">Restaurantes y </w:t>
      </w:r>
      <w:r>
        <w:rPr>
          <w:rFonts w:ascii="Arial" w:hAnsi="Arial" w:cs="Arial"/>
        </w:rPr>
        <w:t>hoteles</w:t>
      </w:r>
    </w:p>
    <w:p w:rsidR="00000000" w:rsidRDefault="000E1CA1">
      <w:pPr>
        <w:ind w:left="902"/>
        <w:jc w:val="both"/>
        <w:rPr>
          <w:rFonts w:ascii="Arial" w:hAnsi="Arial" w:cs="Arial"/>
        </w:rPr>
      </w:pPr>
    </w:p>
    <w:p w:rsidR="00000000" w:rsidRDefault="000E1CA1">
      <w:pPr>
        <w:pStyle w:val="Ttulo9"/>
      </w:pPr>
      <w:r>
        <w:t>Rama 7: Transportes</w:t>
      </w:r>
    </w:p>
    <w:p w:rsidR="00000000" w:rsidRDefault="000E1CA1">
      <w:pPr>
        <w:ind w:left="902"/>
        <w:jc w:val="both"/>
        <w:rPr>
          <w:rFonts w:ascii="Arial" w:hAnsi="Arial" w:cs="Arial"/>
        </w:rPr>
      </w:pPr>
    </w:p>
    <w:p w:rsidR="00000000" w:rsidRDefault="000E1CA1" w:rsidP="000E1CA1">
      <w:pPr>
        <w:numPr>
          <w:ilvl w:val="0"/>
          <w:numId w:val="28"/>
        </w:numPr>
        <w:spacing w:line="480" w:lineRule="auto"/>
        <w:ind w:left="1621" w:hanging="357"/>
        <w:jc w:val="both"/>
        <w:rPr>
          <w:rFonts w:ascii="Arial" w:hAnsi="Arial" w:cs="Arial"/>
        </w:rPr>
      </w:pPr>
      <w:r>
        <w:rPr>
          <w:rFonts w:ascii="Arial" w:hAnsi="Arial" w:cs="Arial"/>
        </w:rPr>
        <w:t>Transportes y almacenamiento</w:t>
      </w:r>
    </w:p>
    <w:p w:rsidR="00000000" w:rsidRDefault="000E1CA1" w:rsidP="000E1CA1">
      <w:pPr>
        <w:numPr>
          <w:ilvl w:val="0"/>
          <w:numId w:val="28"/>
        </w:numPr>
        <w:spacing w:line="480" w:lineRule="auto"/>
        <w:ind w:left="1621" w:hanging="357"/>
        <w:jc w:val="both"/>
        <w:rPr>
          <w:rFonts w:ascii="Arial" w:hAnsi="Arial" w:cs="Arial"/>
        </w:rPr>
      </w:pPr>
      <w:r>
        <w:rPr>
          <w:rFonts w:ascii="Arial" w:hAnsi="Arial" w:cs="Arial"/>
        </w:rPr>
        <w:t>Comunicaciones</w:t>
      </w:r>
    </w:p>
    <w:p w:rsidR="00000000" w:rsidRDefault="000E1CA1">
      <w:pPr>
        <w:ind w:left="902"/>
        <w:jc w:val="both"/>
        <w:rPr>
          <w:rFonts w:ascii="Arial" w:hAnsi="Arial" w:cs="Arial"/>
        </w:rPr>
      </w:pPr>
    </w:p>
    <w:p w:rsidR="00000000" w:rsidRDefault="000E1CA1">
      <w:pPr>
        <w:pStyle w:val="Ttulo9"/>
      </w:pPr>
      <w:r>
        <w:t>Rama 8: Servicios a empresas</w:t>
      </w:r>
    </w:p>
    <w:p w:rsidR="00000000" w:rsidRDefault="000E1CA1">
      <w:pPr>
        <w:ind w:left="902"/>
        <w:jc w:val="both"/>
        <w:rPr>
          <w:rFonts w:ascii="Arial" w:hAnsi="Arial" w:cs="Arial"/>
        </w:rPr>
      </w:pPr>
    </w:p>
    <w:p w:rsidR="00000000" w:rsidRDefault="000E1CA1" w:rsidP="000E1CA1">
      <w:pPr>
        <w:numPr>
          <w:ilvl w:val="0"/>
          <w:numId w:val="29"/>
        </w:numPr>
        <w:spacing w:line="480" w:lineRule="auto"/>
        <w:jc w:val="both"/>
        <w:rPr>
          <w:rFonts w:ascii="Arial" w:hAnsi="Arial" w:cs="Arial"/>
        </w:rPr>
      </w:pPr>
      <w:r>
        <w:rPr>
          <w:rFonts w:ascii="Arial" w:hAnsi="Arial" w:cs="Arial"/>
        </w:rPr>
        <w:t>Establecimientos financieros</w:t>
      </w:r>
    </w:p>
    <w:p w:rsidR="00000000" w:rsidRDefault="000E1CA1" w:rsidP="000E1CA1">
      <w:pPr>
        <w:numPr>
          <w:ilvl w:val="0"/>
          <w:numId w:val="29"/>
        </w:numPr>
        <w:spacing w:line="480" w:lineRule="auto"/>
        <w:jc w:val="both"/>
        <w:rPr>
          <w:rFonts w:ascii="Arial" w:hAnsi="Arial" w:cs="Arial"/>
        </w:rPr>
      </w:pPr>
      <w:r>
        <w:rPr>
          <w:rFonts w:ascii="Arial" w:hAnsi="Arial" w:cs="Arial"/>
        </w:rPr>
        <w:t>Seguros</w:t>
      </w:r>
    </w:p>
    <w:p w:rsidR="00000000" w:rsidRDefault="000E1CA1" w:rsidP="000E1CA1">
      <w:pPr>
        <w:numPr>
          <w:ilvl w:val="0"/>
          <w:numId w:val="29"/>
        </w:numPr>
        <w:spacing w:line="480" w:lineRule="auto"/>
        <w:jc w:val="both"/>
        <w:rPr>
          <w:rFonts w:ascii="Arial" w:hAnsi="Arial" w:cs="Arial"/>
        </w:rPr>
      </w:pPr>
      <w:r>
        <w:rPr>
          <w:rFonts w:ascii="Arial" w:hAnsi="Arial" w:cs="Arial"/>
        </w:rPr>
        <w:t>Bienes inmuebles</w:t>
      </w:r>
    </w:p>
    <w:p w:rsidR="00000000" w:rsidRDefault="000E1CA1" w:rsidP="000E1CA1">
      <w:pPr>
        <w:numPr>
          <w:ilvl w:val="0"/>
          <w:numId w:val="29"/>
        </w:numPr>
        <w:spacing w:line="480" w:lineRule="auto"/>
        <w:jc w:val="both"/>
        <w:rPr>
          <w:rFonts w:ascii="Arial" w:hAnsi="Arial" w:cs="Arial"/>
        </w:rPr>
      </w:pPr>
      <w:r>
        <w:rPr>
          <w:rFonts w:ascii="Arial" w:hAnsi="Arial" w:cs="Arial"/>
        </w:rPr>
        <w:t>Servicios prestados a las empresas</w:t>
      </w:r>
    </w:p>
    <w:p w:rsidR="00000000" w:rsidRDefault="000E1CA1">
      <w:pPr>
        <w:ind w:left="902"/>
        <w:jc w:val="both"/>
        <w:rPr>
          <w:rFonts w:ascii="Arial" w:hAnsi="Arial" w:cs="Arial"/>
        </w:rPr>
      </w:pPr>
    </w:p>
    <w:p w:rsidR="00000000" w:rsidRDefault="000E1CA1">
      <w:pPr>
        <w:pStyle w:val="Ttulo9"/>
      </w:pPr>
      <w:r>
        <w:t>Rama 9: Servicios personales</w:t>
      </w:r>
    </w:p>
    <w:p w:rsidR="00000000" w:rsidRDefault="000E1CA1">
      <w:pPr>
        <w:ind w:left="902"/>
        <w:jc w:val="both"/>
        <w:rPr>
          <w:rFonts w:ascii="Arial" w:hAnsi="Arial" w:cs="Arial"/>
        </w:rPr>
      </w:pPr>
    </w:p>
    <w:p w:rsidR="00000000" w:rsidRDefault="000E1CA1" w:rsidP="000E1CA1">
      <w:pPr>
        <w:numPr>
          <w:ilvl w:val="0"/>
          <w:numId w:val="30"/>
        </w:numPr>
        <w:spacing w:line="480" w:lineRule="auto"/>
        <w:jc w:val="both"/>
        <w:rPr>
          <w:rFonts w:ascii="Arial" w:hAnsi="Arial" w:cs="Arial"/>
        </w:rPr>
      </w:pPr>
      <w:r>
        <w:rPr>
          <w:rFonts w:ascii="Arial" w:hAnsi="Arial" w:cs="Arial"/>
        </w:rPr>
        <w:t>Administración pública y Defens</w:t>
      </w:r>
      <w:r>
        <w:rPr>
          <w:rFonts w:ascii="Arial" w:hAnsi="Arial" w:cs="Arial"/>
        </w:rPr>
        <w:t>a</w:t>
      </w:r>
    </w:p>
    <w:p w:rsidR="00000000" w:rsidRDefault="000E1CA1" w:rsidP="000E1CA1">
      <w:pPr>
        <w:numPr>
          <w:ilvl w:val="0"/>
          <w:numId w:val="30"/>
        </w:numPr>
        <w:spacing w:line="480" w:lineRule="auto"/>
        <w:jc w:val="both"/>
        <w:rPr>
          <w:rFonts w:ascii="Arial" w:hAnsi="Arial" w:cs="Arial"/>
        </w:rPr>
      </w:pPr>
      <w:r>
        <w:rPr>
          <w:rFonts w:ascii="Arial" w:hAnsi="Arial" w:cs="Arial"/>
        </w:rPr>
        <w:t>Servicios de saneamiento y similares</w:t>
      </w:r>
    </w:p>
    <w:p w:rsidR="00000000" w:rsidRDefault="000E1CA1" w:rsidP="000E1CA1">
      <w:pPr>
        <w:numPr>
          <w:ilvl w:val="0"/>
          <w:numId w:val="30"/>
        </w:numPr>
        <w:spacing w:line="480" w:lineRule="auto"/>
        <w:jc w:val="both"/>
        <w:rPr>
          <w:rFonts w:ascii="Arial" w:hAnsi="Arial" w:cs="Arial"/>
        </w:rPr>
      </w:pPr>
      <w:r>
        <w:rPr>
          <w:rFonts w:ascii="Arial" w:hAnsi="Arial" w:cs="Arial"/>
        </w:rPr>
        <w:t>Servicios sociales y otros servicios comunales conexos</w:t>
      </w:r>
    </w:p>
    <w:p w:rsidR="00000000" w:rsidRDefault="000E1CA1" w:rsidP="000E1CA1">
      <w:pPr>
        <w:numPr>
          <w:ilvl w:val="0"/>
          <w:numId w:val="30"/>
        </w:numPr>
        <w:spacing w:line="480" w:lineRule="auto"/>
        <w:jc w:val="both"/>
        <w:rPr>
          <w:rFonts w:ascii="Arial" w:hAnsi="Arial" w:cs="Arial"/>
        </w:rPr>
      </w:pPr>
      <w:r>
        <w:rPr>
          <w:rFonts w:ascii="Arial" w:hAnsi="Arial" w:cs="Arial"/>
        </w:rPr>
        <w:t>Servicios de diversión, esparcimiento y servicios culturales</w:t>
      </w:r>
    </w:p>
    <w:p w:rsidR="00000000" w:rsidRDefault="000E1CA1" w:rsidP="000E1CA1">
      <w:pPr>
        <w:numPr>
          <w:ilvl w:val="0"/>
          <w:numId w:val="30"/>
        </w:numPr>
        <w:spacing w:line="480" w:lineRule="auto"/>
        <w:jc w:val="both"/>
        <w:rPr>
          <w:rFonts w:ascii="Arial" w:hAnsi="Arial" w:cs="Arial"/>
        </w:rPr>
      </w:pPr>
      <w:r>
        <w:rPr>
          <w:rFonts w:ascii="Arial" w:hAnsi="Arial" w:cs="Arial"/>
        </w:rPr>
        <w:t>Servicios personales y de los hogares</w:t>
      </w:r>
    </w:p>
    <w:p w:rsidR="00000000" w:rsidRDefault="000E1CA1" w:rsidP="000E1CA1">
      <w:pPr>
        <w:numPr>
          <w:ilvl w:val="0"/>
          <w:numId w:val="30"/>
        </w:numPr>
        <w:spacing w:line="480" w:lineRule="auto"/>
        <w:jc w:val="both"/>
        <w:rPr>
          <w:rFonts w:ascii="Arial" w:hAnsi="Arial" w:cs="Arial"/>
        </w:rPr>
      </w:pPr>
      <w:r>
        <w:rPr>
          <w:rFonts w:ascii="Arial" w:hAnsi="Arial" w:cs="Arial"/>
        </w:rPr>
        <w:t>Organizaciones Internacionales y otros organismos extraterritor</w:t>
      </w:r>
      <w:r>
        <w:rPr>
          <w:rFonts w:ascii="Arial" w:hAnsi="Arial" w:cs="Arial"/>
        </w:rPr>
        <w:t>iales.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357"/>
        <w:jc w:val="both"/>
        <w:rPr>
          <w:rFonts w:ascii="Arial" w:hAnsi="Arial" w:cs="Arial"/>
          <w:b/>
          <w:bCs/>
        </w:rPr>
      </w:pPr>
      <w:r>
        <w:rPr>
          <w:rFonts w:ascii="Arial" w:hAnsi="Arial" w:cs="Arial"/>
          <w:b/>
          <w:bCs/>
        </w:rPr>
        <w:t>1.4   INEC</w:t>
      </w:r>
    </w:p>
    <w:p w:rsidR="00000000" w:rsidRDefault="000E1CA1">
      <w:pPr>
        <w:spacing w:line="480" w:lineRule="auto"/>
        <w:ind w:left="902"/>
        <w:jc w:val="both"/>
        <w:rPr>
          <w:rFonts w:ascii="Arial" w:hAnsi="Arial" w:cs="Arial"/>
        </w:rPr>
      </w:pPr>
      <w:r>
        <w:rPr>
          <w:rFonts w:ascii="Arial" w:hAnsi="Arial" w:cs="Arial"/>
        </w:rPr>
        <w:t>El INEC es el Instituto Nacional de Estadística y Censos, organismo del sector público ecuatoriano, el cual procesa datos estadísticos oficiales en el escenario económico y social del país.  Las encuestas económicas continuas de este o</w:t>
      </w:r>
      <w:r>
        <w:rPr>
          <w:rFonts w:ascii="Arial" w:hAnsi="Arial" w:cs="Arial"/>
        </w:rPr>
        <w:t xml:space="preserve">rganismo, se producen en base al directorio de empresas y establecimientos económicos del país, dicho directorio es objeto de actualizaciones parciales cada año.  El </w:t>
      </w:r>
      <w:r>
        <w:rPr>
          <w:rFonts w:ascii="Arial" w:hAnsi="Arial" w:cs="Arial"/>
          <w:b/>
          <w:bCs/>
        </w:rPr>
        <w:t>RINEC</w:t>
      </w:r>
      <w:r>
        <w:rPr>
          <w:rFonts w:ascii="Arial" w:hAnsi="Arial" w:cs="Arial"/>
        </w:rPr>
        <w:t xml:space="preserve"> es el Registro de Empresas y Establecimientos Económicos del INEC, este directorio e</w:t>
      </w:r>
      <w:r>
        <w:rPr>
          <w:rFonts w:ascii="Arial" w:hAnsi="Arial" w:cs="Arial"/>
        </w:rPr>
        <w:t>stá estratificado a través de clasificaciones de empresas y establecimientos homogéneos a su interior y heterogéneas entre sí, éstas son:</w:t>
      </w:r>
    </w:p>
    <w:p w:rsidR="00000000" w:rsidRDefault="000E1CA1">
      <w:pPr>
        <w:ind w:left="902"/>
        <w:jc w:val="both"/>
        <w:rPr>
          <w:rFonts w:ascii="Arial" w:hAnsi="Arial" w:cs="Arial"/>
        </w:rPr>
      </w:pPr>
    </w:p>
    <w:p w:rsidR="00000000" w:rsidRDefault="000E1CA1" w:rsidP="000E1CA1">
      <w:pPr>
        <w:numPr>
          <w:ilvl w:val="0"/>
          <w:numId w:val="20"/>
        </w:numPr>
        <w:spacing w:line="480" w:lineRule="auto"/>
        <w:ind w:left="1621" w:hanging="357"/>
        <w:jc w:val="both"/>
        <w:rPr>
          <w:rFonts w:ascii="Arial" w:hAnsi="Arial" w:cs="Arial"/>
        </w:rPr>
      </w:pPr>
      <w:r>
        <w:rPr>
          <w:rFonts w:ascii="Arial" w:hAnsi="Arial" w:cs="Arial"/>
        </w:rPr>
        <w:t xml:space="preserve">Manufactura y Minería </w:t>
      </w:r>
    </w:p>
    <w:p w:rsidR="00000000" w:rsidRDefault="000E1CA1" w:rsidP="000E1CA1">
      <w:pPr>
        <w:numPr>
          <w:ilvl w:val="0"/>
          <w:numId w:val="20"/>
        </w:numPr>
        <w:spacing w:line="480" w:lineRule="auto"/>
        <w:ind w:left="1621" w:hanging="357"/>
        <w:jc w:val="both"/>
        <w:rPr>
          <w:rFonts w:ascii="Arial" w:hAnsi="Arial" w:cs="Arial"/>
        </w:rPr>
      </w:pPr>
      <w:r>
        <w:rPr>
          <w:rFonts w:ascii="Arial" w:hAnsi="Arial" w:cs="Arial"/>
        </w:rPr>
        <w:t>Edificaciones</w:t>
      </w:r>
    </w:p>
    <w:p w:rsidR="00000000" w:rsidRDefault="000E1CA1" w:rsidP="000E1CA1">
      <w:pPr>
        <w:numPr>
          <w:ilvl w:val="0"/>
          <w:numId w:val="20"/>
        </w:numPr>
        <w:spacing w:line="480" w:lineRule="auto"/>
        <w:ind w:left="1621" w:hanging="357"/>
        <w:jc w:val="both"/>
        <w:rPr>
          <w:rFonts w:ascii="Arial" w:hAnsi="Arial" w:cs="Arial"/>
        </w:rPr>
      </w:pPr>
      <w:r>
        <w:rPr>
          <w:rFonts w:ascii="Arial" w:hAnsi="Arial" w:cs="Arial"/>
        </w:rPr>
        <w:t>Comercio Interno</w:t>
      </w:r>
    </w:p>
    <w:p w:rsidR="00000000" w:rsidRDefault="000E1CA1" w:rsidP="000E1CA1">
      <w:pPr>
        <w:numPr>
          <w:ilvl w:val="0"/>
          <w:numId w:val="20"/>
        </w:numPr>
        <w:spacing w:line="480" w:lineRule="auto"/>
        <w:ind w:left="1621" w:hanging="357"/>
        <w:jc w:val="both"/>
        <w:rPr>
          <w:rFonts w:ascii="Arial" w:hAnsi="Arial" w:cs="Arial"/>
        </w:rPr>
      </w:pPr>
      <w:r>
        <w:rPr>
          <w:rFonts w:ascii="Arial" w:hAnsi="Arial" w:cs="Arial"/>
        </w:rPr>
        <w:t>Transporte</w:t>
      </w:r>
    </w:p>
    <w:p w:rsidR="00000000" w:rsidRDefault="000E1CA1" w:rsidP="000E1CA1">
      <w:pPr>
        <w:numPr>
          <w:ilvl w:val="0"/>
          <w:numId w:val="20"/>
        </w:numPr>
        <w:spacing w:line="480" w:lineRule="auto"/>
        <w:ind w:left="1621" w:hanging="357"/>
        <w:jc w:val="both"/>
        <w:rPr>
          <w:rFonts w:ascii="Arial" w:hAnsi="Arial" w:cs="Arial"/>
        </w:rPr>
      </w:pPr>
      <w:r>
        <w:rPr>
          <w:rFonts w:ascii="Arial" w:hAnsi="Arial" w:cs="Arial"/>
        </w:rPr>
        <w:t>Hoteles, Restaurantes y Servicios.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el Ecuador,</w:t>
      </w:r>
      <w:r>
        <w:rPr>
          <w:rFonts w:ascii="Arial" w:hAnsi="Arial" w:cs="Arial"/>
        </w:rPr>
        <w:t xml:space="preserve"> el conglomerado societario mercantil conformado por más de 20.000 compañías entre anónimas, limitadas, de economía mixta y de compañías extranjeras, son las unidades económicas que en gran medida sustentan y dinamizan la economía del país.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357"/>
        <w:jc w:val="both"/>
        <w:rPr>
          <w:rFonts w:ascii="Arial" w:hAnsi="Arial" w:cs="Arial"/>
          <w:b/>
          <w:bCs/>
        </w:rPr>
      </w:pPr>
      <w:r>
        <w:rPr>
          <w:rFonts w:ascii="Arial" w:hAnsi="Arial" w:cs="Arial"/>
          <w:b/>
          <w:bCs/>
        </w:rPr>
        <w:t>1.5   Transf</w:t>
      </w:r>
      <w:r>
        <w:rPr>
          <w:rFonts w:ascii="Arial" w:hAnsi="Arial" w:cs="Arial"/>
          <w:b/>
          <w:bCs/>
        </w:rPr>
        <w:t>ormación de las compañías.</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transformación en su sentido etimológico sugiere la necesidad de dar a la compañía una forma nueva, implica el ingreso de este ente a una nueva modalidad jurídica, que deja subsistente la persona moral de la empresa que se tr</w:t>
      </w:r>
      <w:r>
        <w:rPr>
          <w:rFonts w:ascii="Arial" w:hAnsi="Arial" w:cs="Arial"/>
        </w:rPr>
        <w:t>ansforma.  Es decir, que la transformación no implica disolución y posterior creación de la sociedad, sino la supervivencia de la misma forma, de la misma persona.</w:t>
      </w:r>
    </w:p>
    <w:p w:rsidR="00000000" w:rsidRDefault="000E1CA1">
      <w:pPr>
        <w:spacing w:line="480" w:lineRule="auto"/>
        <w:ind w:left="902"/>
        <w:jc w:val="both"/>
        <w:rPr>
          <w:rFonts w:ascii="Arial" w:hAnsi="Arial" w:cs="Arial"/>
        </w:rPr>
      </w:pPr>
      <w:r>
        <w:rPr>
          <w:rFonts w:ascii="Arial" w:hAnsi="Arial" w:cs="Arial"/>
        </w:rPr>
        <w:t>Según el Art. 374 de la Ley de Compañías “Una compañía puede transformarse adoptando una fig</w:t>
      </w:r>
      <w:r>
        <w:rPr>
          <w:rFonts w:ascii="Arial" w:hAnsi="Arial" w:cs="Arial"/>
        </w:rPr>
        <w:t>ura jurídica distinta, sin que por ello se opere su disolución, ni pierda su personería jurídica”; pero esta transformación de una especie en otra deberá hacerse en conformidad con la propia Ley de Compañías.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 Ley y la práctica de la Superintendencia </w:t>
      </w:r>
      <w:r>
        <w:rPr>
          <w:rFonts w:ascii="Arial" w:hAnsi="Arial" w:cs="Arial"/>
        </w:rPr>
        <w:t>garantizan en este punto una amplia posibilidad.  Así la compañía anónima podrá transformarse en compañía de economía mixta, en colectiva, en comandita y de responsabilidad limitada.  A su vez, cualquiera de éstas puede transformarse en otro tipo de compañ</w:t>
      </w:r>
      <w:r>
        <w:rPr>
          <w:rFonts w:ascii="Arial" w:hAnsi="Arial" w:cs="Arial"/>
        </w:rPr>
        <w:t>ía.  En cambio, está prohibido que una compañía pueda transformarse en otro tipo de persona jurídica.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transformación de una compañía en nombre colectivo, en comandita simple o de responsabilidad limitada a otra especie de compañía requerirá, según la</w:t>
      </w:r>
      <w:r>
        <w:rPr>
          <w:rFonts w:ascii="Arial" w:hAnsi="Arial" w:cs="Arial"/>
        </w:rPr>
        <w:t xml:space="preserve"> Ley, el acuerdo unánime de socios.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En todo caso quedará a salvo el derecho de separarse de la compañía del accionista o socio no concurrente o disidente con respecto a la transformación, previo el reembolso del valor de sus acciones o participaciones, </w:t>
      </w:r>
      <w:r>
        <w:rPr>
          <w:rFonts w:ascii="Arial" w:hAnsi="Arial" w:cs="Arial"/>
        </w:rPr>
        <w:t>según el balance final.  Este derecho se lo podrá ejercer dentro de los quince días contados desde la fecha en que la junta general decidió la transformación.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 transformación se hará cumpliendo todos los requisitos exigidos para la constitución de la </w:t>
      </w:r>
      <w:r>
        <w:rPr>
          <w:rFonts w:ascii="Arial" w:hAnsi="Arial" w:cs="Arial"/>
        </w:rPr>
        <w:t>compañía cuya forma se adopte.</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rsidP="000E1CA1">
      <w:pPr>
        <w:numPr>
          <w:ilvl w:val="2"/>
          <w:numId w:val="31"/>
        </w:numPr>
        <w:spacing w:line="480" w:lineRule="auto"/>
        <w:jc w:val="both"/>
        <w:rPr>
          <w:rFonts w:ascii="Arial" w:hAnsi="Arial" w:cs="Arial"/>
          <w:b/>
          <w:bCs/>
        </w:rPr>
      </w:pPr>
      <w:r>
        <w:rPr>
          <w:rFonts w:ascii="Arial" w:hAnsi="Arial" w:cs="Arial"/>
          <w:b/>
          <w:bCs/>
        </w:rPr>
        <w:t xml:space="preserve">Pasos </w:t>
      </w:r>
    </w:p>
    <w:p w:rsidR="00000000" w:rsidRDefault="000E1CA1">
      <w:pPr>
        <w:spacing w:line="480" w:lineRule="auto"/>
        <w:ind w:left="902"/>
        <w:jc w:val="both"/>
        <w:rPr>
          <w:rFonts w:ascii="Arial" w:hAnsi="Arial" w:cs="Arial"/>
        </w:rPr>
      </w:pPr>
      <w:r>
        <w:rPr>
          <w:rFonts w:ascii="Arial" w:hAnsi="Arial" w:cs="Arial"/>
        </w:rPr>
        <w:t>El trámite de transformación de las compañías de comercio debe ajustarse a los siguientes pasos:</w:t>
      </w:r>
    </w:p>
    <w:p w:rsidR="00000000" w:rsidRDefault="000E1CA1" w:rsidP="000E1CA1">
      <w:pPr>
        <w:numPr>
          <w:ilvl w:val="0"/>
          <w:numId w:val="12"/>
        </w:numPr>
        <w:spacing w:line="480" w:lineRule="auto"/>
        <w:jc w:val="both"/>
        <w:rPr>
          <w:rFonts w:ascii="Arial" w:hAnsi="Arial" w:cs="Arial"/>
        </w:rPr>
      </w:pPr>
      <w:r>
        <w:rPr>
          <w:rFonts w:ascii="Arial" w:hAnsi="Arial" w:cs="Arial"/>
        </w:rPr>
        <w:t>Puede intentarse ante el Superintendente de Compañías o iniciarse ante un juez de lo civil según el caso, pues hay q</w:t>
      </w:r>
      <w:r>
        <w:rPr>
          <w:rFonts w:ascii="Arial" w:hAnsi="Arial" w:cs="Arial"/>
        </w:rPr>
        <w:t>ue cumplir los requisitos exigidos por la Ley para la constitución de la Compañía cuya forma se adopte.</w:t>
      </w: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rsidP="000E1CA1">
      <w:pPr>
        <w:numPr>
          <w:ilvl w:val="0"/>
          <w:numId w:val="12"/>
        </w:numPr>
        <w:spacing w:line="480" w:lineRule="auto"/>
        <w:jc w:val="both"/>
        <w:rPr>
          <w:rFonts w:ascii="Arial" w:hAnsi="Arial" w:cs="Arial"/>
        </w:rPr>
      </w:pPr>
      <w:r>
        <w:rPr>
          <w:rFonts w:ascii="Arial" w:hAnsi="Arial" w:cs="Arial"/>
        </w:rPr>
        <w:t>En el supuesto de que la modalidad jurídica que se procure para la compañía en transformación sea alguna de las que le compete aprobar al Superintend</w:t>
      </w:r>
      <w:r>
        <w:rPr>
          <w:rFonts w:ascii="Arial" w:hAnsi="Arial" w:cs="Arial"/>
        </w:rPr>
        <w:t>ente de Compañía, el trámite puede iniciarse con la presentación de una minuta para que se formulen las observaciones de carácter jurídico y económico, o en su defecto  presentando directamente tres ejemplares de la escritura pública de transformación otor</w:t>
      </w:r>
      <w:r>
        <w:rPr>
          <w:rFonts w:ascii="Arial" w:hAnsi="Arial" w:cs="Arial"/>
        </w:rPr>
        <w:t>gada por el o los representantes legales de la sociedad que se transforma.</w:t>
      </w:r>
    </w:p>
    <w:p w:rsidR="00000000" w:rsidRDefault="000E1CA1">
      <w:pPr>
        <w:ind w:left="902"/>
        <w:jc w:val="both"/>
        <w:rPr>
          <w:rFonts w:ascii="Arial" w:hAnsi="Arial" w:cs="Arial"/>
        </w:rPr>
      </w:pP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rsidP="000E1CA1">
      <w:pPr>
        <w:numPr>
          <w:ilvl w:val="0"/>
          <w:numId w:val="12"/>
        </w:numPr>
        <w:spacing w:line="480" w:lineRule="auto"/>
        <w:jc w:val="both"/>
        <w:rPr>
          <w:rFonts w:ascii="Arial" w:hAnsi="Arial" w:cs="Arial"/>
        </w:rPr>
      </w:pPr>
      <w:r>
        <w:rPr>
          <w:rFonts w:ascii="Arial" w:hAnsi="Arial" w:cs="Arial"/>
        </w:rPr>
        <w:t xml:space="preserve">La escritura predicha debe contener los requisitos legales previstos para la nueva forma jurídica que se intenta lograr el acuerdo de transformación, la lista de los accionistas </w:t>
      </w:r>
      <w:r>
        <w:rPr>
          <w:rFonts w:ascii="Arial" w:hAnsi="Arial" w:cs="Arial"/>
        </w:rPr>
        <w:t>o socios que hayan hecho uso del derecho de separarse de la compañía por no conformarse con la transformación y el balance final cerrado el día anterior  al del otorgamiento de la escritura.</w:t>
      </w: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rsidP="000E1CA1">
      <w:pPr>
        <w:numPr>
          <w:ilvl w:val="0"/>
          <w:numId w:val="12"/>
        </w:numPr>
        <w:spacing w:line="480" w:lineRule="auto"/>
        <w:jc w:val="both"/>
        <w:rPr>
          <w:rFonts w:ascii="Arial" w:hAnsi="Arial" w:cs="Arial"/>
        </w:rPr>
      </w:pPr>
      <w:r>
        <w:rPr>
          <w:rFonts w:ascii="Arial" w:hAnsi="Arial" w:cs="Arial"/>
        </w:rPr>
        <w:t>Con el informe favorable de los Departamentos Jurídico y de In</w:t>
      </w:r>
      <w:r>
        <w:rPr>
          <w:rFonts w:ascii="Arial" w:hAnsi="Arial" w:cs="Arial"/>
        </w:rPr>
        <w:t>spección de la Superintendencia de Compañías, el órgano administrativo competente emitirá la resolución aprobatoria de la transformación.</w:t>
      </w: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rsidP="000E1CA1">
      <w:pPr>
        <w:numPr>
          <w:ilvl w:val="0"/>
          <w:numId w:val="12"/>
        </w:numPr>
        <w:spacing w:line="480" w:lineRule="auto"/>
        <w:jc w:val="both"/>
        <w:rPr>
          <w:rFonts w:ascii="Arial" w:hAnsi="Arial" w:cs="Arial"/>
        </w:rPr>
      </w:pPr>
      <w:r>
        <w:rPr>
          <w:rFonts w:ascii="Arial" w:hAnsi="Arial" w:cs="Arial"/>
        </w:rPr>
        <w:t>Emitida la resolución aprobatoria por la Superintendencia de ramo, se publicará el extracto de la escritura de tran</w:t>
      </w:r>
      <w:r>
        <w:rPr>
          <w:rFonts w:ascii="Arial" w:hAnsi="Arial" w:cs="Arial"/>
        </w:rPr>
        <w:t>sformación elaborado por la misma institución, en uno de los periódicos de mayor circulación en el domicilio de la compañía y de las sucursales si las hubiere.</w:t>
      </w: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pPr>
        <w:ind w:left="360"/>
        <w:jc w:val="both"/>
        <w:rPr>
          <w:rFonts w:ascii="Arial" w:hAnsi="Arial" w:cs="Arial"/>
        </w:rPr>
      </w:pPr>
    </w:p>
    <w:p w:rsidR="00000000" w:rsidRDefault="000E1CA1" w:rsidP="000E1CA1">
      <w:pPr>
        <w:numPr>
          <w:ilvl w:val="0"/>
          <w:numId w:val="12"/>
        </w:numPr>
        <w:spacing w:line="480" w:lineRule="auto"/>
        <w:jc w:val="both"/>
        <w:rPr>
          <w:rFonts w:ascii="Arial" w:hAnsi="Arial" w:cs="Arial"/>
        </w:rPr>
      </w:pPr>
      <w:r>
        <w:rPr>
          <w:rFonts w:ascii="Arial" w:hAnsi="Arial" w:cs="Arial"/>
        </w:rPr>
        <w:t>Si el capital de la compañía objeto de la transformación estuviere dividido en acciones, la S</w:t>
      </w:r>
      <w:r>
        <w:rPr>
          <w:rFonts w:ascii="Arial" w:hAnsi="Arial" w:cs="Arial"/>
        </w:rPr>
        <w:t>uperintendencia de Compañías exigirá se le entreguen las acciones que desaparezcan.</w:t>
      </w:r>
    </w:p>
    <w:p w:rsidR="00000000" w:rsidRDefault="000E1CA1">
      <w:pPr>
        <w:ind w:left="360"/>
        <w:jc w:val="both"/>
        <w:rPr>
          <w:rFonts w:ascii="Arial" w:hAnsi="Arial" w:cs="Arial"/>
        </w:rPr>
      </w:pPr>
    </w:p>
    <w:p w:rsidR="00000000" w:rsidRDefault="000E1CA1" w:rsidP="000E1CA1">
      <w:pPr>
        <w:numPr>
          <w:ilvl w:val="0"/>
          <w:numId w:val="12"/>
        </w:numPr>
        <w:spacing w:line="480" w:lineRule="auto"/>
        <w:jc w:val="both"/>
        <w:rPr>
          <w:rFonts w:ascii="Arial" w:hAnsi="Arial" w:cs="Arial"/>
        </w:rPr>
      </w:pPr>
      <w:r>
        <w:rPr>
          <w:rFonts w:ascii="Arial" w:hAnsi="Arial" w:cs="Arial"/>
        </w:rPr>
        <w:t>El trámite concluye con la inscripción en el Registro Mercantil del acto jurídico de transformación, previa la presentación al Registrador del certificado conferido por la</w:t>
      </w:r>
      <w:r>
        <w:rPr>
          <w:rFonts w:ascii="Arial" w:hAnsi="Arial" w:cs="Arial"/>
        </w:rPr>
        <w:t xml:space="preserve"> Superintendencia de Compañías en el que conste que sociedad que se transforma, se halla al día en el cumplimiento de sus obligaciones para con dicha entidad.</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2"/>
        <w:spacing w:line="480" w:lineRule="auto"/>
        <w:ind w:left="357"/>
        <w:rPr>
          <w:rFonts w:ascii="Arial" w:hAnsi="Arial" w:cs="Arial"/>
        </w:rPr>
      </w:pPr>
      <w:r>
        <w:rPr>
          <w:rFonts w:ascii="Arial" w:hAnsi="Arial" w:cs="Arial"/>
        </w:rPr>
        <w:t>1.6   Fusión de las compañías</w:t>
      </w:r>
    </w:p>
    <w:p w:rsidR="00000000" w:rsidRDefault="000E1CA1">
      <w:pPr>
        <w:spacing w:line="480" w:lineRule="auto"/>
        <w:ind w:left="902"/>
        <w:jc w:val="both"/>
        <w:rPr>
          <w:rFonts w:ascii="Arial" w:hAnsi="Arial" w:cs="Arial"/>
        </w:rPr>
      </w:pPr>
      <w:r>
        <w:rPr>
          <w:rFonts w:ascii="Arial" w:hAnsi="Arial" w:cs="Arial"/>
        </w:rPr>
        <w:t>La fusión es una figura jurídica que procura la concentración de</w:t>
      </w:r>
      <w:r>
        <w:rPr>
          <w:rFonts w:ascii="Arial" w:hAnsi="Arial" w:cs="Arial"/>
        </w:rPr>
        <w:t xml:space="preserve"> empresas para producir bienes y servicios en una comunidad determinada, substancialmente distinta al consorcio, pero sin duda busca una mejor situación para todas ellas.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fusión de las compañías se produce en los siguiente casos:</w:t>
      </w:r>
    </w:p>
    <w:p w:rsidR="00000000" w:rsidRDefault="000E1CA1" w:rsidP="000E1CA1">
      <w:pPr>
        <w:pStyle w:val="Textoindependiente"/>
        <w:numPr>
          <w:ilvl w:val="0"/>
          <w:numId w:val="13"/>
        </w:numPr>
        <w:spacing w:line="480" w:lineRule="auto"/>
        <w:ind w:left="1621" w:hanging="357"/>
        <w:rPr>
          <w:rFonts w:ascii="Arial" w:hAnsi="Arial" w:cs="Arial"/>
        </w:rPr>
      </w:pPr>
      <w:r>
        <w:rPr>
          <w:rFonts w:ascii="Arial" w:hAnsi="Arial" w:cs="Arial"/>
        </w:rPr>
        <w:t>Cuando dos o más com</w:t>
      </w:r>
      <w:r>
        <w:rPr>
          <w:rFonts w:ascii="Arial" w:hAnsi="Arial" w:cs="Arial"/>
        </w:rPr>
        <w:t>pañías se unen para formar una nueva que les suceda en sus derechos y obligaciones; y</w:t>
      </w: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rsidP="000E1CA1">
      <w:pPr>
        <w:numPr>
          <w:ilvl w:val="0"/>
          <w:numId w:val="13"/>
        </w:numPr>
        <w:spacing w:line="480" w:lineRule="auto"/>
        <w:jc w:val="both"/>
        <w:rPr>
          <w:rFonts w:ascii="Arial" w:hAnsi="Arial" w:cs="Arial"/>
        </w:rPr>
      </w:pPr>
      <w:r>
        <w:rPr>
          <w:rFonts w:ascii="Arial" w:hAnsi="Arial" w:cs="Arial"/>
        </w:rPr>
        <w:t>Cuando una o más compañías son absorbidas por otra que continúa subsistiendo.</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Para la fusión de cualquier compañía en una nueva, se acordará primero la disolución y</w:t>
      </w:r>
      <w:r>
        <w:rPr>
          <w:rFonts w:ascii="Arial" w:hAnsi="Arial" w:cs="Arial"/>
        </w:rPr>
        <w:t xml:space="preserve"> luego se procederá al traspaso en bloque de los respectivos patrimonios sociales a la nueva compañía.  Los traspasos de activos, sean tangibles o intangibles, se podrán realizar a valor presente o de mercado.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fusión deberá ser aprobada por las compa</w:t>
      </w:r>
      <w:r>
        <w:rPr>
          <w:rFonts w:ascii="Arial" w:hAnsi="Arial" w:cs="Arial"/>
        </w:rPr>
        <w:t>ñías que se fusionen o que hayan sido absorbidas, así como las bases de la  operación, en junta general extraordinaria convocada para el efecto.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A los socios o accionistas de las compañías extinguidas se les entregará un número de acciones o un derecho </w:t>
      </w:r>
      <w:r>
        <w:rPr>
          <w:rFonts w:ascii="Arial" w:hAnsi="Arial" w:cs="Arial"/>
        </w:rPr>
        <w:t>de cuota de capital por un valor proporcional a sus respectivas participaciones en aquellas.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Por esta razón surge la inquietud que si las referencias legales son aplicables exclusivamente a las compañías constituidas como tales; o si, como parece más ex</w:t>
      </w:r>
      <w:r>
        <w:rPr>
          <w:rFonts w:ascii="Arial" w:hAnsi="Arial" w:cs="Arial"/>
        </w:rPr>
        <w:t>acto, también son aplicables a otras que están al margen de la legislación societaria, por ejemplo: empresas individuales, empresas públicas, otro tipo de organizaciones no constituidas jurídicamente, etc.</w:t>
      </w:r>
    </w:p>
    <w:p w:rsidR="00000000" w:rsidRDefault="000E1CA1">
      <w:pPr>
        <w:spacing w:line="480" w:lineRule="auto"/>
        <w:ind w:left="902"/>
        <w:jc w:val="both"/>
        <w:rPr>
          <w:rFonts w:ascii="Arial" w:hAnsi="Arial" w:cs="Arial"/>
          <w:b/>
          <w:bCs/>
        </w:rPr>
      </w:pPr>
      <w:r>
        <w:rPr>
          <w:rFonts w:ascii="Arial" w:hAnsi="Arial" w:cs="Arial"/>
          <w:b/>
          <w:bCs/>
        </w:rPr>
        <w:t xml:space="preserve">1.6.1  Pasos </w:t>
      </w:r>
    </w:p>
    <w:p w:rsidR="00000000" w:rsidRDefault="000E1CA1">
      <w:pPr>
        <w:spacing w:line="480" w:lineRule="auto"/>
        <w:ind w:left="902"/>
        <w:jc w:val="both"/>
        <w:rPr>
          <w:rFonts w:ascii="Arial" w:hAnsi="Arial" w:cs="Arial"/>
        </w:rPr>
      </w:pPr>
      <w:r>
        <w:rPr>
          <w:rFonts w:ascii="Arial" w:hAnsi="Arial" w:cs="Arial"/>
        </w:rPr>
        <w:t>En el trámite administrativo de fusi</w:t>
      </w:r>
      <w:r>
        <w:rPr>
          <w:rFonts w:ascii="Arial" w:hAnsi="Arial" w:cs="Arial"/>
        </w:rPr>
        <w:t>ón tenemos los siguiente pasos jurídicos procesales :</w:t>
      </w:r>
    </w:p>
    <w:p w:rsidR="00000000" w:rsidRDefault="000E1CA1" w:rsidP="000E1CA1">
      <w:pPr>
        <w:numPr>
          <w:ilvl w:val="0"/>
          <w:numId w:val="9"/>
        </w:numPr>
        <w:spacing w:line="480" w:lineRule="auto"/>
        <w:jc w:val="both"/>
        <w:rPr>
          <w:rFonts w:ascii="Arial" w:hAnsi="Arial" w:cs="Arial"/>
        </w:rPr>
      </w:pPr>
      <w:r>
        <w:rPr>
          <w:rFonts w:ascii="Arial" w:hAnsi="Arial" w:cs="Arial"/>
        </w:rPr>
        <w:t>El trámite se inicia con el acuerdo de las compañías de fusionarse.</w:t>
      </w:r>
    </w:p>
    <w:p w:rsidR="00000000" w:rsidRDefault="000E1CA1" w:rsidP="000E1CA1">
      <w:pPr>
        <w:pStyle w:val="Textoindependiente"/>
        <w:numPr>
          <w:ilvl w:val="0"/>
          <w:numId w:val="9"/>
        </w:numPr>
        <w:spacing w:line="480" w:lineRule="auto"/>
        <w:rPr>
          <w:rFonts w:ascii="Arial" w:hAnsi="Arial" w:cs="Arial"/>
        </w:rPr>
      </w:pPr>
      <w:r>
        <w:rPr>
          <w:rFonts w:ascii="Arial" w:hAnsi="Arial" w:cs="Arial"/>
        </w:rPr>
        <w:t>El traspaso en bloque de los respectivos patrimonios.</w:t>
      </w:r>
    </w:p>
    <w:p w:rsidR="00000000" w:rsidRDefault="000E1CA1" w:rsidP="000E1CA1">
      <w:pPr>
        <w:numPr>
          <w:ilvl w:val="0"/>
          <w:numId w:val="9"/>
        </w:numPr>
        <w:spacing w:line="480" w:lineRule="auto"/>
        <w:jc w:val="both"/>
        <w:rPr>
          <w:rFonts w:ascii="Arial" w:hAnsi="Arial" w:cs="Arial"/>
        </w:rPr>
      </w:pPr>
      <w:r>
        <w:rPr>
          <w:rFonts w:ascii="Arial" w:hAnsi="Arial" w:cs="Arial"/>
        </w:rPr>
        <w:t>La sociedad absorbente, debe realizar un aumento de capital en base a los bienes</w:t>
      </w:r>
      <w:r>
        <w:rPr>
          <w:rFonts w:ascii="Arial" w:hAnsi="Arial" w:cs="Arial"/>
        </w:rPr>
        <w:t xml:space="preserve"> de la sociedad absorbida.</w:t>
      </w:r>
    </w:p>
    <w:p w:rsidR="00000000" w:rsidRDefault="000E1CA1" w:rsidP="000E1CA1">
      <w:pPr>
        <w:numPr>
          <w:ilvl w:val="0"/>
          <w:numId w:val="9"/>
        </w:numPr>
        <w:spacing w:line="480" w:lineRule="auto"/>
        <w:jc w:val="both"/>
        <w:rPr>
          <w:rFonts w:ascii="Arial" w:hAnsi="Arial" w:cs="Arial"/>
        </w:rPr>
      </w:pPr>
      <w:r>
        <w:rPr>
          <w:rFonts w:ascii="Arial" w:hAnsi="Arial" w:cs="Arial"/>
        </w:rPr>
        <w:t>La sociedad absorbida, por esa circunstancia, pierde su personalidad jurídica.</w:t>
      </w:r>
    </w:p>
    <w:p w:rsidR="00000000" w:rsidRDefault="000E1CA1" w:rsidP="000E1CA1">
      <w:pPr>
        <w:numPr>
          <w:ilvl w:val="0"/>
          <w:numId w:val="9"/>
        </w:numPr>
        <w:spacing w:line="480" w:lineRule="auto"/>
        <w:jc w:val="both"/>
        <w:rPr>
          <w:rFonts w:ascii="Arial" w:hAnsi="Arial" w:cs="Arial"/>
        </w:rPr>
      </w:pPr>
      <w:r>
        <w:rPr>
          <w:rFonts w:ascii="Arial" w:hAnsi="Arial" w:cs="Arial"/>
        </w:rPr>
        <w:t>Los socios o accionistas de las compañías extinguidas adquieren un derecho de cuota o reciben un número de acciones por un valor proporcional a sus re</w:t>
      </w:r>
      <w:r>
        <w:rPr>
          <w:rFonts w:ascii="Arial" w:hAnsi="Arial" w:cs="Arial"/>
        </w:rPr>
        <w:t>spectivas participaciones en aquellas.</w:t>
      </w:r>
    </w:p>
    <w:p w:rsidR="00000000" w:rsidRDefault="000E1CA1" w:rsidP="000E1CA1">
      <w:pPr>
        <w:numPr>
          <w:ilvl w:val="0"/>
          <w:numId w:val="9"/>
        </w:numPr>
        <w:spacing w:line="480" w:lineRule="auto"/>
        <w:jc w:val="both"/>
        <w:rPr>
          <w:rFonts w:ascii="Arial" w:hAnsi="Arial" w:cs="Arial"/>
        </w:rPr>
      </w:pPr>
      <w:r>
        <w:rPr>
          <w:rFonts w:ascii="Arial" w:hAnsi="Arial" w:cs="Arial"/>
        </w:rPr>
        <w:t>La compañía absorbente, al incorporar a una o varias sociedades les sucede en sus derechos y obligaciones.  Una de las derivaciones de ello es que asume el pasivo de las mismas.</w:t>
      </w:r>
    </w:p>
    <w:p w:rsidR="00000000" w:rsidRDefault="000E1CA1" w:rsidP="000E1CA1">
      <w:pPr>
        <w:numPr>
          <w:ilvl w:val="0"/>
          <w:numId w:val="9"/>
        </w:numPr>
        <w:spacing w:line="480" w:lineRule="auto"/>
        <w:jc w:val="both"/>
        <w:rPr>
          <w:rFonts w:ascii="Arial" w:hAnsi="Arial" w:cs="Arial"/>
        </w:rPr>
      </w:pPr>
      <w:r>
        <w:rPr>
          <w:rFonts w:ascii="Arial" w:hAnsi="Arial" w:cs="Arial"/>
        </w:rPr>
        <w:t>El trámite se instrumenta teniendo en c</w:t>
      </w:r>
      <w:r>
        <w:rPr>
          <w:rFonts w:ascii="Arial" w:hAnsi="Arial" w:cs="Arial"/>
        </w:rPr>
        <w:t>uenta el mandato del Art. 383 de la Ley de Compañías que estipula que: “ La compañía absorbente deberá aprobar las bases de la operación y el proyecto de reforma al contrato social en junta extraordinaria convocada especialmente para el efecto”.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357"/>
        <w:jc w:val="both"/>
        <w:rPr>
          <w:rFonts w:ascii="Arial" w:hAnsi="Arial" w:cs="Arial"/>
          <w:b/>
          <w:bCs/>
        </w:rPr>
      </w:pPr>
      <w:r>
        <w:rPr>
          <w:rFonts w:ascii="Arial" w:hAnsi="Arial" w:cs="Arial"/>
          <w:b/>
          <w:bCs/>
        </w:rPr>
        <w:t>1.7   D</w:t>
      </w:r>
      <w:r>
        <w:rPr>
          <w:rFonts w:ascii="Arial" w:hAnsi="Arial" w:cs="Arial"/>
          <w:b/>
          <w:bCs/>
        </w:rPr>
        <w:t>isolución de las compañías</w:t>
      </w:r>
    </w:p>
    <w:p w:rsidR="00000000" w:rsidRDefault="000E1CA1">
      <w:pPr>
        <w:spacing w:line="480" w:lineRule="auto"/>
        <w:ind w:left="902"/>
        <w:jc w:val="both"/>
        <w:rPr>
          <w:rFonts w:ascii="Arial" w:hAnsi="Arial" w:cs="Arial"/>
        </w:rPr>
      </w:pPr>
      <w:r>
        <w:rPr>
          <w:rFonts w:ascii="Arial" w:hAnsi="Arial" w:cs="Arial"/>
        </w:rPr>
        <w:t>La disolución de las sociedades mercantiles en general, es un fenómeno jurídico complejo, que constituye un inicio de las operaciones encaminadas a la extinción de la persona jurídica, cuyos efectos más inmediatos son los de sust</w:t>
      </w:r>
      <w:r>
        <w:rPr>
          <w:rFonts w:ascii="Arial" w:hAnsi="Arial" w:cs="Arial"/>
        </w:rPr>
        <w:t>ituir un valor de explotación por otro inferior de liquidación.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 xml:space="preserve">La disolución de la sociedad consecuentemente no es equivalente a la extinción de la compañía, es el paso previo a la liquidación, que a su vez es presupuesto necesario para la culminación </w:t>
      </w:r>
      <w:r>
        <w:rPr>
          <w:rFonts w:ascii="Arial" w:hAnsi="Arial" w:cs="Arial"/>
        </w:rPr>
        <w:t>de la vida de la empresa con la cancelación de la inscripción de la compañía en el Registro Mercantil.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De la resolución que declare la disolución, quienes representen por lo menos el 25% del capital pagado, podrán recurrir ante el Tribunal de lo Contenc</w:t>
      </w:r>
      <w:r>
        <w:rPr>
          <w:rFonts w:ascii="Arial" w:hAnsi="Arial" w:cs="Arial"/>
        </w:rPr>
        <w:t>ioso Administrativo  para realizar una apelación.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357"/>
        <w:jc w:val="both"/>
        <w:rPr>
          <w:rFonts w:ascii="Arial" w:hAnsi="Arial" w:cs="Arial"/>
          <w:b/>
          <w:bCs/>
        </w:rPr>
      </w:pPr>
      <w:r>
        <w:rPr>
          <w:rFonts w:ascii="Arial" w:hAnsi="Arial" w:cs="Arial"/>
          <w:b/>
          <w:bCs/>
        </w:rPr>
        <w:t>1.8   Reactivación de las compañías</w:t>
      </w:r>
    </w:p>
    <w:p w:rsidR="00000000" w:rsidRDefault="000E1CA1">
      <w:pPr>
        <w:pStyle w:val="Textoindependiente"/>
        <w:ind w:left="1563"/>
        <w:rPr>
          <w:rFonts w:ascii="Arial" w:hAnsi="Arial" w:cs="Arial"/>
        </w:rPr>
      </w:pPr>
      <w:r>
        <w:rPr>
          <w:rFonts w:ascii="Arial" w:hAnsi="Arial" w:cs="Arial"/>
          <w:b/>
          <w:bCs/>
        </w:rPr>
        <w:t>Cualquiera que haya sido la causa de disolución, la         compañía que se encuentre en proceso de liquidación puede reactivarse hasta antes de la cancelación de la i</w:t>
      </w:r>
      <w:r>
        <w:rPr>
          <w:rFonts w:ascii="Arial" w:hAnsi="Arial" w:cs="Arial"/>
          <w:b/>
          <w:bCs/>
        </w:rPr>
        <w:t xml:space="preserve">nscripción de la compañía en el registro Mercantil, siempre que se hubiere solucionado la causa que motivó su disolución y que el señor Superintendente de Compañías considere que no hay ninguna otra causa que justifique la liquidación. </w:t>
      </w:r>
      <w:r>
        <w:rPr>
          <w:rFonts w:ascii="Arial" w:hAnsi="Arial" w:cs="Arial"/>
        </w:rPr>
        <w:t xml:space="preserve">  Art. 17 de la ley </w:t>
      </w:r>
      <w:r>
        <w:rPr>
          <w:rFonts w:ascii="Arial" w:hAnsi="Arial" w:cs="Arial"/>
        </w:rPr>
        <w:t>31.</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trámite para la reactivación es el mismo que para la reforma de estatutos.  Es decir, que la escritura de este acto tiene que ser otorgada por el representante legal de la sociedad  que bien puede ser el liquidador, si hubiere inscrito su nombram</w:t>
      </w:r>
      <w:r>
        <w:rPr>
          <w:rFonts w:ascii="Arial" w:hAnsi="Arial" w:cs="Arial"/>
        </w:rPr>
        <w:t>iento en el Registro Mercantil.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Si transcurriesen seis meses desde la presentación de la referida escritura no concluirá el trámite de reactivación, se continuará con el proceso de liquidación .  La filosofía que inspira este instrumento jurídico es el </w:t>
      </w:r>
      <w:r>
        <w:rPr>
          <w:rFonts w:ascii="Arial" w:hAnsi="Arial" w:cs="Arial"/>
        </w:rPr>
        <w:t>deseo y la necesidad de preservar las compañías, más las consideraciones de economía procesal.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357"/>
        <w:jc w:val="both"/>
        <w:rPr>
          <w:rFonts w:ascii="Arial" w:hAnsi="Arial" w:cs="Arial"/>
          <w:b/>
          <w:bCs/>
        </w:rPr>
      </w:pPr>
      <w:r>
        <w:rPr>
          <w:rFonts w:ascii="Arial" w:hAnsi="Arial" w:cs="Arial"/>
          <w:b/>
          <w:bCs/>
        </w:rPr>
        <w:t>1.9   Liquidación de las compañías</w:t>
      </w:r>
    </w:p>
    <w:p w:rsidR="00000000" w:rsidRDefault="000E1CA1">
      <w:pPr>
        <w:pStyle w:val="Textoindependiente"/>
        <w:spacing w:line="480" w:lineRule="auto"/>
        <w:ind w:left="902"/>
        <w:rPr>
          <w:rFonts w:ascii="Arial" w:hAnsi="Arial" w:cs="Arial"/>
        </w:rPr>
      </w:pPr>
      <w:r>
        <w:rPr>
          <w:rFonts w:ascii="Arial" w:hAnsi="Arial" w:cs="Arial"/>
        </w:rPr>
        <w:t>La liquidación es un procedimiento técnico-jurídico tendiente a la realización del activo, extinción del pasivo y dist</w:t>
      </w:r>
      <w:r>
        <w:rPr>
          <w:rFonts w:ascii="Arial" w:hAnsi="Arial" w:cs="Arial"/>
        </w:rPr>
        <w:t>ribución de un posible remanente entre los socios o accionistas, que termina con la cancelación de la inscripción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Las disposiciones sobre la liquidación procuran salvaguardar los intereses de los socios o accionistas y fundamentalmente de terceros y acr</w:t>
      </w:r>
      <w:r>
        <w:rPr>
          <w:rFonts w:ascii="Arial" w:hAnsi="Arial" w:cs="Arial"/>
        </w:rPr>
        <w:t>eedores. Tienen mayor trascendencia para las sociedades capitalistas que para las personalistas, porque en las primeras el capital y el patrimonio son la única garantía de los acreedores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 norma aceptada por la generalidad de las legislaciones, que a</w:t>
      </w:r>
      <w:r>
        <w:rPr>
          <w:rFonts w:ascii="Arial" w:hAnsi="Arial" w:cs="Arial"/>
        </w:rPr>
        <w:t xml:space="preserve"> la liquidación preceda la disolución, con excepción del derecho inglés, en el que primero se efectúa la liquidación y luego la disolución.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proceso de liquidación de una compañía se inicia con la inscripción de los siguientes instrumentos:</w:t>
      </w:r>
    </w:p>
    <w:p w:rsidR="00000000" w:rsidRDefault="000E1CA1" w:rsidP="000E1CA1">
      <w:pPr>
        <w:pStyle w:val="Textoindependiente"/>
        <w:numPr>
          <w:ilvl w:val="0"/>
          <w:numId w:val="10"/>
        </w:numPr>
        <w:spacing w:line="480" w:lineRule="auto"/>
        <w:rPr>
          <w:rFonts w:ascii="Arial" w:hAnsi="Arial" w:cs="Arial"/>
        </w:rPr>
      </w:pPr>
      <w:r>
        <w:rPr>
          <w:rFonts w:ascii="Arial" w:hAnsi="Arial" w:cs="Arial"/>
        </w:rPr>
        <w:t>De la reso</w:t>
      </w:r>
      <w:r>
        <w:rPr>
          <w:rFonts w:ascii="Arial" w:hAnsi="Arial" w:cs="Arial"/>
        </w:rPr>
        <w:t>lución que ordena la liquidación, en los casos de disolución de pleno derecho.</w:t>
      </w:r>
    </w:p>
    <w:p w:rsidR="00000000" w:rsidRDefault="000E1CA1" w:rsidP="000E1CA1">
      <w:pPr>
        <w:numPr>
          <w:ilvl w:val="0"/>
          <w:numId w:val="10"/>
        </w:numPr>
        <w:spacing w:line="480" w:lineRule="auto"/>
        <w:jc w:val="both"/>
        <w:rPr>
          <w:rFonts w:ascii="Arial" w:hAnsi="Arial" w:cs="Arial"/>
        </w:rPr>
      </w:pPr>
      <w:r>
        <w:rPr>
          <w:rFonts w:ascii="Arial" w:hAnsi="Arial" w:cs="Arial"/>
        </w:rPr>
        <w:t>De la resolución que declara la disolución y ordena la liquidación, cuando es dictada por el Superintendente de Compañías y,</w:t>
      </w:r>
    </w:p>
    <w:p w:rsidR="00000000" w:rsidRDefault="000E1CA1" w:rsidP="000E1CA1">
      <w:pPr>
        <w:numPr>
          <w:ilvl w:val="0"/>
          <w:numId w:val="10"/>
        </w:numPr>
        <w:spacing w:line="480" w:lineRule="auto"/>
        <w:jc w:val="both"/>
        <w:rPr>
          <w:rFonts w:ascii="Arial" w:hAnsi="Arial" w:cs="Arial"/>
        </w:rPr>
      </w:pPr>
      <w:r>
        <w:rPr>
          <w:rFonts w:ascii="Arial" w:hAnsi="Arial" w:cs="Arial"/>
        </w:rPr>
        <w:t>De la escritura de disolución y liquidación voluntar</w:t>
      </w:r>
      <w:r>
        <w:rPr>
          <w:rFonts w:ascii="Arial" w:hAnsi="Arial" w:cs="Arial"/>
        </w:rPr>
        <w:t>ia y la respectiva resolución aprobatoria.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7"/>
        <w:jc w:val="center"/>
      </w:pPr>
      <w:r>
        <w:t>CAPÍTULO 2</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2"/>
        <w:rPr>
          <w:rFonts w:ascii="Arial" w:hAnsi="Arial" w:cs="Arial"/>
          <w:sz w:val="32"/>
        </w:rPr>
      </w:pPr>
      <w:r>
        <w:rPr>
          <w:rFonts w:ascii="Arial" w:hAnsi="Arial" w:cs="Arial"/>
          <w:sz w:val="32"/>
        </w:rPr>
        <w:t>2. REGIÓN SIERRA</w:t>
      </w:r>
    </w:p>
    <w:p w:rsidR="00000000" w:rsidRDefault="000E1CA1">
      <w:pPr>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r>
        <w:rPr>
          <w:rFonts w:ascii="Arial" w:hAnsi="Arial" w:cs="Arial"/>
          <w:b/>
          <w:bCs/>
        </w:rPr>
        <w:t>2.1   Generalidades</w:t>
      </w:r>
    </w:p>
    <w:p w:rsidR="00000000" w:rsidRDefault="000E1CA1">
      <w:pPr>
        <w:ind w:left="360"/>
        <w:jc w:val="both"/>
        <w:rPr>
          <w:rFonts w:ascii="Arial" w:hAnsi="Arial" w:cs="Arial"/>
          <w:b/>
          <w:bCs/>
        </w:rPr>
      </w:pPr>
    </w:p>
    <w:p w:rsidR="00000000" w:rsidRDefault="000E1CA1">
      <w:pPr>
        <w:spacing w:line="480" w:lineRule="auto"/>
        <w:ind w:left="902"/>
        <w:jc w:val="both"/>
        <w:rPr>
          <w:rFonts w:ascii="Arial" w:hAnsi="Arial" w:cs="Arial"/>
        </w:rPr>
      </w:pPr>
      <w:r>
        <w:rPr>
          <w:rFonts w:ascii="Arial" w:hAnsi="Arial" w:cs="Arial"/>
        </w:rPr>
        <w:t>Ecuador es un país único por su inigualable belleza natural, rica en recursos naturales, fauna y flora especiales, g</w:t>
      </w:r>
      <w:r>
        <w:rPr>
          <w:rFonts w:ascii="Arial" w:hAnsi="Arial" w:cs="Arial"/>
        </w:rPr>
        <w:t xml:space="preserve">ente amable y hospitalaria, riqueza histórica y cultural y singulares contrastes climatológicos que lo han convertido en un lugar ideal para su actividad turística.  Está dividido en 22 provincias distribuidas en cuatro regiones naturales de su geografía: </w:t>
      </w:r>
      <w:r>
        <w:rPr>
          <w:rFonts w:ascii="Arial" w:hAnsi="Arial" w:cs="Arial"/>
        </w:rPr>
        <w:t xml:space="preserve">Costa, con las provincias de Guayas, Manabí, Los Ríos, El Oro y Esmeraldas; Sierra, con las provincias de Carchi, Imbabura, Pichincha, Cotopaxi, Tungurahua, Chimborazo, Azuay, Bolívar, Cañar y Loja; Oriente, con las provincias de Sucumbios, Napo, Pastaza, </w:t>
      </w:r>
      <w:r>
        <w:rPr>
          <w:rFonts w:ascii="Arial" w:hAnsi="Arial" w:cs="Arial"/>
        </w:rPr>
        <w:t>Morona Santiago, Zamora Chinchipe y Francisco de Orellana y la Región Insular con la provincia de Galápagos.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rect id="_x0000_s1026" style="position:absolute;left:0;text-align:left;margin-left:45pt;margin-top:0;width:369pt;height:414pt;z-index:251589120"/>
        </w:pict>
      </w:r>
      <w:r>
        <w:rPr>
          <w:rFonts w:ascii="Arial" w:hAnsi="Arial" w:cs="Arial"/>
          <w:noProof/>
          <w:sz w:val="20"/>
        </w:rPr>
        <w:pict>
          <v:shapetype id="_x0000_t202" coordsize="21600,21600" o:spt="202" path="m,l,21600r21600,l21600,xe">
            <v:stroke joinstyle="miter"/>
            <v:path gradientshapeok="t" o:connecttype="rect"/>
          </v:shapetype>
          <v:shape id="_x0000_s1027" type="#_x0000_t202" style="position:absolute;left:0;text-align:left;margin-left:54pt;margin-top:9pt;width:350.85pt;height:356.4pt;z-index:251590144">
            <v:textbox style="mso-next-textbox:#_x0000_s1027">
              <w:txbxContent>
                <w:p w:rsidR="00000000" w:rsidRDefault="00266E4B">
                  <w:r>
                    <w:rPr>
                      <w:rFonts w:ascii="Arial" w:hAnsi="Arial" w:cs="Arial"/>
                      <w:noProof/>
                    </w:rPr>
                    <w:drawing>
                      <wp:inline distT="0" distB="0" distL="0" distR="0">
                        <wp:extent cx="4152900" cy="4191000"/>
                        <wp:effectExtent l="19050" t="0" r="0" b="0"/>
                        <wp:docPr id="1" name="Imagen 1" descr="http://www.explored.com.ec/ecuador/grafico1/ec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lored.com.ec/ecuador/grafico1/ecua.gif"/>
                                <pic:cNvPicPr>
                                  <a:picLocks noChangeAspect="1" noChangeArrowheads="1"/>
                                </pic:cNvPicPr>
                              </pic:nvPicPr>
                              <pic:blipFill>
                                <a:blip r:embed="rId7"/>
                                <a:srcRect/>
                                <a:stretch>
                                  <a:fillRect/>
                                </a:stretch>
                              </pic:blipFill>
                              <pic:spPr bwMode="auto">
                                <a:xfrm>
                                  <a:off x="0" y="0"/>
                                  <a:ext cx="4152900" cy="4191000"/>
                                </a:xfrm>
                                <a:prstGeom prst="rect">
                                  <a:avLst/>
                                </a:prstGeom>
                                <a:noFill/>
                                <a:ln w="9525">
                                  <a:noFill/>
                                  <a:miter lim="800000"/>
                                  <a:headEnd/>
                                  <a:tailEnd/>
                                </a:ln>
                              </pic:spPr>
                            </pic:pic>
                          </a:graphicData>
                        </a:graphic>
                      </wp:inline>
                    </w:drawing>
                  </w:r>
                </w:p>
              </w:txbxContent>
            </v:textbox>
          </v:shape>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28" type="#_x0000_t202" style="position:absolute;left:0;text-align:left;margin-left:54pt;margin-top:10.25pt;width:342pt;height:36pt;z-index:251591168" strokecolor="white">
            <v:textbox style="mso-next-textbox:#_x0000_s1028">
              <w:txbxContent>
                <w:p w:rsidR="00000000" w:rsidRDefault="000E1CA1">
                  <w:pPr>
                    <w:rPr>
                      <w:rFonts w:ascii="Arial" w:hAnsi="Arial"/>
                    </w:rPr>
                  </w:pPr>
                  <w:r>
                    <w:rPr>
                      <w:rFonts w:ascii="Arial" w:hAnsi="Arial"/>
                      <w:b/>
                      <w:bCs/>
                    </w:rPr>
                    <w:t>FIGURA 1.1.</w:t>
                  </w:r>
                  <w:r>
                    <w:rPr>
                      <w:rFonts w:ascii="Arial" w:hAnsi="Arial"/>
                    </w:rPr>
                    <w:t xml:space="preserve">  División Territorial del Ecuador</w:t>
                  </w:r>
                </w:p>
                <w:p w:rsidR="00000000" w:rsidRDefault="000E1CA1">
                  <w:pPr>
                    <w:rPr>
                      <w:rFonts w:ascii="Arial" w:hAnsi="Arial"/>
                    </w:rPr>
                  </w:pPr>
                  <w:r>
                    <w:rPr>
                      <w:rFonts w:ascii="Arial" w:hAnsi="Arial"/>
                      <w:b/>
                      <w:bCs/>
                    </w:rPr>
                    <w:t>Fuente.</w:t>
                  </w:r>
                  <w:r>
                    <w:rPr>
                      <w:rFonts w:ascii="Arial" w:hAnsi="Arial"/>
                    </w:rPr>
                    <w:t xml:space="preserve">  http: www.explored.ecuador.com</w:t>
                  </w:r>
                </w:p>
              </w:txbxContent>
            </v:textbox>
          </v:shape>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i w:val="0"/>
          <w:iCs w:val="0"/>
        </w:rPr>
      </w:pPr>
      <w:r>
        <w:rPr>
          <w:rFonts w:ascii="Arial" w:hAnsi="Arial" w:cs="Arial"/>
          <w:i w:val="0"/>
          <w:iCs w:val="0"/>
        </w:rPr>
        <w:t>A continuación una breve explicación sobre la economía y los recursos de todas las 10 provincias de la regió</w:t>
      </w:r>
      <w:r>
        <w:rPr>
          <w:rFonts w:ascii="Arial" w:hAnsi="Arial" w:cs="Arial"/>
          <w:i w:val="0"/>
          <w:iCs w:val="0"/>
        </w:rPr>
        <w:t>n Sierra.</w:t>
      </w:r>
    </w:p>
    <w:p w:rsidR="00000000" w:rsidRDefault="000E1CA1">
      <w:pPr>
        <w:pStyle w:val="Ttulo1"/>
        <w:rPr>
          <w:rFonts w:ascii="Arial" w:hAnsi="Arial" w:cs="Arial"/>
          <w:i w:val="0"/>
          <w:iCs w:val="0"/>
        </w:rPr>
      </w:pPr>
    </w:p>
    <w:p w:rsidR="00000000" w:rsidRDefault="000E1CA1"/>
    <w:p w:rsidR="00000000" w:rsidRDefault="000E1CA1"/>
    <w:p w:rsidR="00000000" w:rsidRDefault="000E1CA1">
      <w:pPr>
        <w:pStyle w:val="Ttulo1"/>
        <w:ind w:left="902"/>
        <w:rPr>
          <w:rFonts w:ascii="Arial" w:hAnsi="Arial" w:cs="Arial"/>
          <w:b/>
          <w:bCs/>
          <w:i w:val="0"/>
          <w:iCs w:val="0"/>
        </w:rPr>
      </w:pPr>
      <w:r>
        <w:rPr>
          <w:rFonts w:ascii="Arial" w:hAnsi="Arial" w:cs="Arial"/>
          <w:b/>
          <w:bCs/>
          <w:i w:val="0"/>
          <w:iCs w:val="0"/>
        </w:rPr>
        <w:t>2.1.1 Provincia de Carchi</w:t>
      </w:r>
    </w:p>
    <w:p w:rsidR="00000000" w:rsidRDefault="000E1CA1">
      <w:pPr>
        <w:jc w:val="both"/>
        <w:rPr>
          <w:rFonts w:ascii="Arial" w:hAnsi="Arial" w:cs="Arial"/>
          <w:b/>
        </w:rPr>
      </w:pPr>
    </w:p>
    <w:p w:rsidR="00000000" w:rsidRDefault="000E1CA1">
      <w:pPr>
        <w:spacing w:line="480" w:lineRule="auto"/>
        <w:ind w:left="902"/>
        <w:jc w:val="both"/>
        <w:rPr>
          <w:rFonts w:ascii="Arial" w:hAnsi="Arial" w:cs="Arial"/>
        </w:rPr>
      </w:pPr>
      <w:r>
        <w:rPr>
          <w:rFonts w:ascii="Arial" w:hAnsi="Arial" w:cs="Arial"/>
          <w:b/>
        </w:rPr>
        <w:t xml:space="preserve">Recursos Naturales : </w:t>
      </w:r>
      <w:r>
        <w:rPr>
          <w:rFonts w:ascii="Arial" w:hAnsi="Arial" w:cs="Arial"/>
        </w:rPr>
        <w:t xml:space="preserve">Agrícola, papas, trigo, ganadería, etc. </w:t>
      </w:r>
    </w:p>
    <w:p w:rsidR="00000000" w:rsidRDefault="000E1CA1">
      <w:pPr>
        <w:spacing w:line="480" w:lineRule="auto"/>
        <w:ind w:left="902"/>
        <w:jc w:val="both"/>
        <w:rPr>
          <w:rFonts w:ascii="Arial" w:hAnsi="Arial" w:cs="Arial"/>
        </w:rPr>
      </w:pPr>
      <w:r>
        <w:rPr>
          <w:rFonts w:ascii="Arial" w:hAnsi="Arial" w:cs="Arial"/>
          <w:b/>
          <w:bCs/>
        </w:rPr>
        <w:t>Industria :</w:t>
      </w:r>
      <w:r>
        <w:rPr>
          <w:rFonts w:ascii="Arial" w:hAnsi="Arial" w:cs="Arial"/>
        </w:rPr>
        <w:t xml:space="preserve"> Alimentos, bebidas, tabaco, industria lechera, etc.</w:t>
      </w:r>
    </w:p>
    <w:p w:rsidR="00000000" w:rsidRDefault="000E1CA1">
      <w:pPr>
        <w:ind w:left="194" w:firstLine="708"/>
        <w:jc w:val="both"/>
        <w:rPr>
          <w:rFonts w:ascii="Arial" w:hAnsi="Arial" w:cs="Arial"/>
        </w:rPr>
      </w:pPr>
      <w:r>
        <w:rPr>
          <w:rFonts w:ascii="Arial" w:hAnsi="Arial" w:cs="Arial"/>
          <w:b/>
          <w:bCs/>
        </w:rPr>
        <w:t>Comercio :</w:t>
      </w:r>
      <w:r>
        <w:rPr>
          <w:rFonts w:ascii="Arial" w:hAnsi="Arial" w:cs="Arial"/>
        </w:rPr>
        <w:t xml:space="preserve"> Alimentos, productos manufactureros,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4"/>
        <w:spacing w:line="480" w:lineRule="auto"/>
        <w:ind w:left="902" w:firstLine="0"/>
        <w:rPr>
          <w:rFonts w:ascii="Arial" w:hAnsi="Arial" w:cs="Arial"/>
        </w:rPr>
      </w:pPr>
      <w:r>
        <w:rPr>
          <w:rFonts w:ascii="Arial" w:hAnsi="Arial" w:cs="Arial"/>
        </w:rPr>
        <w:t>2.1.1.1   Agricultura</w:t>
      </w:r>
    </w:p>
    <w:p w:rsidR="00000000" w:rsidRDefault="000E1CA1">
      <w:pPr>
        <w:pStyle w:val="Textoindependiente"/>
        <w:spacing w:line="480" w:lineRule="auto"/>
        <w:ind w:left="902"/>
        <w:rPr>
          <w:rFonts w:ascii="Arial" w:hAnsi="Arial" w:cs="Arial"/>
        </w:rPr>
      </w:pPr>
      <w:r>
        <w:rPr>
          <w:rFonts w:ascii="Arial" w:hAnsi="Arial" w:cs="Arial"/>
        </w:rPr>
        <w:t>La provincia</w:t>
      </w:r>
      <w:r>
        <w:rPr>
          <w:rFonts w:ascii="Arial" w:hAnsi="Arial" w:cs="Arial"/>
        </w:rPr>
        <w:t xml:space="preserve"> es una región muy bien dotada para la agricultura debido a que sus suelos son fértiles. De los cultivos agrícolas más importantes debe destacarse la papa que se cultiva especialmente en los cantones de Tulcán y Montúfar. El Carchi es una provincia papera </w:t>
      </w:r>
      <w:r>
        <w:rPr>
          <w:rFonts w:ascii="Arial" w:hAnsi="Arial" w:cs="Arial"/>
        </w:rPr>
        <w:t>y ocupa uno de los primeros lugares en la producción nacional de este tubérculo. La producción de cebada fue importante hace algunos años debido al mercado seguro que tenía la industria cervecera colombiana; luego decayó para volver a recuperarse con nuevo</w:t>
      </w:r>
      <w:r>
        <w:rPr>
          <w:rFonts w:ascii="Arial" w:hAnsi="Arial" w:cs="Arial"/>
        </w:rPr>
        <w:t xml:space="preserve">s sembríos. Otros cultivos importantes son: Maíz, trigo, arveja, fréjol, haba, mellocos. </w:t>
      </w:r>
    </w:p>
    <w:p w:rsidR="00000000" w:rsidRDefault="000E1CA1">
      <w:pPr>
        <w:jc w:val="both"/>
        <w:rPr>
          <w:rFonts w:ascii="Arial" w:hAnsi="Arial" w:cs="Arial"/>
          <w:b/>
        </w:rPr>
      </w:pPr>
    </w:p>
    <w:p w:rsidR="00000000" w:rsidRDefault="000E1CA1">
      <w:pPr>
        <w:jc w:val="both"/>
        <w:rPr>
          <w:rFonts w:ascii="Arial" w:hAnsi="Arial" w:cs="Arial"/>
          <w:b/>
        </w:rPr>
      </w:pPr>
    </w:p>
    <w:p w:rsidR="00000000" w:rsidRDefault="000E1CA1">
      <w:pPr>
        <w:jc w:val="both"/>
        <w:rPr>
          <w:rFonts w:ascii="Arial" w:hAnsi="Arial" w:cs="Arial"/>
          <w:b/>
        </w:rPr>
      </w:pPr>
    </w:p>
    <w:p w:rsidR="00000000" w:rsidRDefault="000E1CA1">
      <w:pPr>
        <w:pStyle w:val="Ttulo2"/>
        <w:spacing w:line="480" w:lineRule="auto"/>
        <w:ind w:left="902"/>
        <w:rPr>
          <w:rFonts w:ascii="Arial" w:hAnsi="Arial" w:cs="Arial"/>
          <w:b w:val="0"/>
          <w:color w:val="000000"/>
        </w:rPr>
      </w:pPr>
      <w:r>
        <w:rPr>
          <w:rFonts w:ascii="Arial" w:hAnsi="Arial" w:cs="Arial"/>
          <w:bCs w:val="0"/>
          <w:color w:val="000000"/>
        </w:rPr>
        <w:t>2.1.1.2   Ganadería</w:t>
      </w:r>
    </w:p>
    <w:p w:rsidR="00000000" w:rsidRDefault="000E1CA1">
      <w:pPr>
        <w:pStyle w:val="Textoindependiente"/>
        <w:spacing w:line="480" w:lineRule="auto"/>
        <w:ind w:left="902"/>
        <w:rPr>
          <w:rFonts w:ascii="Arial" w:hAnsi="Arial" w:cs="Arial"/>
        </w:rPr>
      </w:pPr>
      <w:r>
        <w:rPr>
          <w:rFonts w:ascii="Arial" w:hAnsi="Arial" w:cs="Arial"/>
        </w:rPr>
        <w:t>Expertos nacionales y extranjeros han establecido que las mesetas del Carchi constituyen zonas óptimas para la crianza de ganado, tanto de lech</w:t>
      </w:r>
      <w:r>
        <w:rPr>
          <w:rFonts w:ascii="Arial" w:hAnsi="Arial" w:cs="Arial"/>
        </w:rPr>
        <w:t>e como de carne. El cantón Tulcán es el que más superficie tiene dedicada a pastos y también el de mayor población bovina.  En las principales haciendas la producción lechera se la realiza en forma técnica, por lo cual el promedio de litros de leche de vac</w:t>
      </w:r>
      <w:r>
        <w:rPr>
          <w:rFonts w:ascii="Arial" w:hAnsi="Arial" w:cs="Arial"/>
        </w:rPr>
        <w:t xml:space="preserve">a por día esta más alto que el promedio nacional.  En esto tiene mucho que ver la demanda y los precios que rigen en Colombia.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4"/>
        <w:spacing w:line="480" w:lineRule="auto"/>
        <w:ind w:left="902" w:firstLine="0"/>
        <w:rPr>
          <w:rFonts w:ascii="Arial" w:hAnsi="Arial" w:cs="Arial"/>
        </w:rPr>
      </w:pPr>
      <w:r>
        <w:rPr>
          <w:rFonts w:ascii="Arial" w:hAnsi="Arial" w:cs="Arial"/>
        </w:rPr>
        <w:t>2.1.1.3   Minería e Industrias</w:t>
      </w:r>
    </w:p>
    <w:p w:rsidR="00000000" w:rsidRDefault="000E1CA1">
      <w:pPr>
        <w:spacing w:line="480" w:lineRule="auto"/>
        <w:ind w:left="902"/>
        <w:jc w:val="both"/>
        <w:rPr>
          <w:rFonts w:ascii="Arial" w:hAnsi="Arial" w:cs="Arial"/>
        </w:rPr>
      </w:pPr>
      <w:r>
        <w:rPr>
          <w:rFonts w:ascii="Arial" w:hAnsi="Arial" w:cs="Arial"/>
        </w:rPr>
        <w:t>Hasta el año 1983 no se había registrado ningún establecimiento minero. En 1985 se localizaron</w:t>
      </w:r>
      <w:r>
        <w:rPr>
          <w:rFonts w:ascii="Arial" w:hAnsi="Arial" w:cs="Arial"/>
        </w:rPr>
        <w:t xml:space="preserve"> depósitos mineros de metales, minerales no metálicos y canteras. En cuanto al desarrollo industrial de la provincia, éste es todavía incipiente. Existen unas doce empresas en las ramas de alimentos y bebidas, tabaco. Merece destacarse en la agroindustria </w:t>
      </w:r>
      <w:r>
        <w:rPr>
          <w:rFonts w:ascii="Arial" w:hAnsi="Arial" w:cs="Arial"/>
        </w:rPr>
        <w:t xml:space="preserve">la Lechera Carchi con una amplia red de distribución en el país.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 xml:space="preserve">2.1.1.4   El Comercio Fronterizo </w:t>
      </w:r>
    </w:p>
    <w:p w:rsidR="00000000" w:rsidRDefault="000E1CA1">
      <w:pPr>
        <w:pStyle w:val="Textoindependiente"/>
        <w:spacing w:line="480" w:lineRule="auto"/>
        <w:ind w:left="902"/>
        <w:rPr>
          <w:rFonts w:ascii="Arial" w:hAnsi="Arial" w:cs="Arial"/>
        </w:rPr>
      </w:pPr>
      <w:r>
        <w:rPr>
          <w:rFonts w:ascii="Arial" w:hAnsi="Arial" w:cs="Arial"/>
        </w:rPr>
        <w:t>El comercio del Carchi se sustenta principalmente en el comercio fronterizo con el departamento de Nariño de Colombia. En el pasado, el contrabando de pr</w:t>
      </w:r>
      <w:r>
        <w:rPr>
          <w:rFonts w:ascii="Arial" w:hAnsi="Arial" w:cs="Arial"/>
        </w:rPr>
        <w:t>oductos fue una institución tolerada por la autoridades. Actualmente los convenios de integración entre los dos países y la baja de aranceles han legalizado lo que antes era un comercio ilegal. Gran diversidad de productos son objeto del comercio fronteriz</w:t>
      </w:r>
      <w:r>
        <w:rPr>
          <w:rFonts w:ascii="Arial" w:hAnsi="Arial" w:cs="Arial"/>
        </w:rPr>
        <w:t xml:space="preserve">o. Ecuador exporta especialmente productos agropecuario y en menor escala algunos productos manufacturados. </w:t>
      </w: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2.1.2   Provincia de Imbabura</w:t>
      </w:r>
    </w:p>
    <w:p w:rsidR="00000000" w:rsidRDefault="000E1CA1">
      <w:pPr>
        <w:spacing w:line="480" w:lineRule="auto"/>
        <w:ind w:left="902"/>
        <w:jc w:val="both"/>
        <w:rPr>
          <w:rFonts w:ascii="Arial" w:hAnsi="Arial" w:cs="Arial"/>
        </w:rPr>
      </w:pPr>
      <w:r>
        <w:rPr>
          <w:rFonts w:ascii="Arial" w:hAnsi="Arial" w:cs="Arial"/>
          <w:b/>
        </w:rPr>
        <w:t xml:space="preserve">Recursos Naturales: </w:t>
      </w:r>
      <w:r>
        <w:rPr>
          <w:rFonts w:ascii="Arial" w:hAnsi="Arial" w:cs="Arial"/>
        </w:rPr>
        <w:t>Maíz suave, caña de azúcar, etc.</w:t>
      </w:r>
    </w:p>
    <w:p w:rsidR="00000000" w:rsidRDefault="000E1CA1">
      <w:pPr>
        <w:spacing w:line="480" w:lineRule="auto"/>
        <w:ind w:left="902"/>
        <w:jc w:val="both"/>
        <w:rPr>
          <w:rFonts w:ascii="Arial" w:hAnsi="Arial" w:cs="Arial"/>
        </w:rPr>
      </w:pPr>
      <w:r>
        <w:rPr>
          <w:rFonts w:ascii="Arial" w:hAnsi="Arial" w:cs="Arial"/>
          <w:b/>
        </w:rPr>
        <w:t xml:space="preserve">Industria : </w:t>
      </w:r>
      <w:r>
        <w:rPr>
          <w:rFonts w:ascii="Arial" w:hAnsi="Arial" w:cs="Arial"/>
        </w:rPr>
        <w:t>Textil, prendas de vestir, cuero, alimentos, bebidas</w:t>
      </w:r>
      <w:r>
        <w:rPr>
          <w:rFonts w:ascii="Arial" w:hAnsi="Arial" w:cs="Arial"/>
        </w:rPr>
        <w:t>, etc.</w:t>
      </w:r>
    </w:p>
    <w:p w:rsidR="00000000" w:rsidRDefault="000E1CA1">
      <w:pPr>
        <w:spacing w:line="480" w:lineRule="auto"/>
        <w:ind w:left="902"/>
        <w:jc w:val="both"/>
        <w:rPr>
          <w:rFonts w:ascii="Arial" w:hAnsi="Arial" w:cs="Arial"/>
        </w:rPr>
      </w:pPr>
      <w:r>
        <w:rPr>
          <w:rFonts w:ascii="Arial" w:hAnsi="Arial" w:cs="Arial"/>
          <w:b/>
        </w:rPr>
        <w:t xml:space="preserve">Turismo : </w:t>
      </w:r>
      <w:r>
        <w:rPr>
          <w:rFonts w:ascii="Arial" w:hAnsi="Arial" w:cs="Arial"/>
        </w:rPr>
        <w:t>Lagos y sitios típicos, compra de artesanías,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4"/>
        <w:spacing w:line="480" w:lineRule="auto"/>
        <w:ind w:left="902" w:firstLine="0"/>
        <w:rPr>
          <w:rFonts w:ascii="Arial" w:hAnsi="Arial" w:cs="Arial"/>
        </w:rPr>
      </w:pPr>
      <w:r>
        <w:rPr>
          <w:rFonts w:ascii="Arial" w:hAnsi="Arial" w:cs="Arial"/>
        </w:rPr>
        <w:t>2.1.2.1   Agricultura</w:t>
      </w:r>
    </w:p>
    <w:p w:rsidR="00000000" w:rsidRDefault="000E1CA1">
      <w:pPr>
        <w:spacing w:line="480" w:lineRule="auto"/>
        <w:ind w:left="902"/>
        <w:jc w:val="both"/>
        <w:rPr>
          <w:rFonts w:ascii="Arial" w:hAnsi="Arial" w:cs="Arial"/>
        </w:rPr>
      </w:pPr>
      <w:r>
        <w:rPr>
          <w:rFonts w:ascii="Arial" w:hAnsi="Arial" w:cs="Arial"/>
        </w:rPr>
        <w:t xml:space="preserve">Este sector concentra el 39% del total de la población económicamente activa de la provincia. El área destinada a cultivos alcanza unas 20 mil has. y la destinada </w:t>
      </w:r>
      <w:r>
        <w:rPr>
          <w:rFonts w:ascii="Arial" w:hAnsi="Arial" w:cs="Arial"/>
        </w:rPr>
        <w:t>a pastos supera las 10 mil. Imbabura es una de las principales provincias en la producción de fréjol seco (se cultivan aproximadamente unas 7.000 has) y la primera en la producción de maíz suave seco con una superficie cultivada de cerca de 35.000 has.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Está en primer lugar también su producción de maíz suave, choclo y es la tercera en la sierra en la producción de caña de azúcar con más de 100 mil toneladas métricas. Otros cultivos importantes de la provincia son trigo, cebada y maíz duro seco.  En fruta</w:t>
      </w:r>
      <w:r>
        <w:rPr>
          <w:rFonts w:ascii="Arial" w:hAnsi="Arial" w:cs="Arial"/>
        </w:rPr>
        <w:t>les, son importantes los cultivos de aguacate y tomate riñón en valles como el Chota, Ibarra, Pimampiro y Ambuquí. Es muy alta la producción de cabuya cuyo centro de mercado es Otavalo.</w:t>
      </w:r>
    </w:p>
    <w:p w:rsidR="00000000" w:rsidRDefault="000E1CA1">
      <w:pPr>
        <w:pStyle w:val="Ttulo4"/>
        <w:spacing w:line="480" w:lineRule="auto"/>
        <w:ind w:left="902" w:firstLine="0"/>
        <w:rPr>
          <w:rFonts w:ascii="Arial" w:hAnsi="Arial" w:cs="Arial"/>
        </w:rPr>
      </w:pPr>
      <w:r>
        <w:rPr>
          <w:rFonts w:ascii="Arial" w:hAnsi="Arial" w:cs="Arial"/>
        </w:rPr>
        <w:t>2.1.2.2   Ganadería</w:t>
      </w:r>
    </w:p>
    <w:p w:rsidR="00000000" w:rsidRDefault="000E1CA1">
      <w:pPr>
        <w:pStyle w:val="Textoindependiente"/>
        <w:spacing w:line="480" w:lineRule="auto"/>
        <w:ind w:left="902"/>
        <w:rPr>
          <w:rFonts w:ascii="Arial" w:hAnsi="Arial" w:cs="Arial"/>
        </w:rPr>
      </w:pPr>
      <w:r>
        <w:rPr>
          <w:rFonts w:ascii="Arial" w:hAnsi="Arial" w:cs="Arial"/>
        </w:rPr>
        <w:t>La provincia tiene lugares muy aptos para la ganad</w:t>
      </w:r>
      <w:r>
        <w:rPr>
          <w:rFonts w:ascii="Arial" w:hAnsi="Arial" w:cs="Arial"/>
        </w:rPr>
        <w:t>ería. Hatos importantes son los de Zuleta y la Magdalena. La población de ganado vacuno supera las 115 mil cabezas.  La construcción de canal de riego que se abrió en el valle de Salinas sirvió mucho para la agricultura, el cultivo de alfalfa y para la gan</w:t>
      </w:r>
      <w:r>
        <w:rPr>
          <w:rFonts w:ascii="Arial" w:hAnsi="Arial" w:cs="Arial"/>
        </w:rPr>
        <w:t>adería.</w:t>
      </w:r>
    </w:p>
    <w:p w:rsidR="00000000" w:rsidRDefault="000E1CA1">
      <w:pPr>
        <w:jc w:val="both"/>
        <w:rPr>
          <w:rFonts w:ascii="Arial" w:hAnsi="Arial" w:cs="Arial"/>
          <w:color w:val="000000"/>
        </w:rPr>
      </w:pPr>
    </w:p>
    <w:p w:rsidR="00000000" w:rsidRDefault="000E1CA1">
      <w:pPr>
        <w:jc w:val="both"/>
        <w:rPr>
          <w:rFonts w:ascii="Arial" w:hAnsi="Arial" w:cs="Arial"/>
          <w:color w:val="000000"/>
        </w:rPr>
      </w:pPr>
    </w:p>
    <w:p w:rsidR="00000000" w:rsidRDefault="000E1CA1">
      <w:pPr>
        <w:jc w:val="both"/>
        <w:rPr>
          <w:rFonts w:ascii="Arial" w:hAnsi="Arial" w:cs="Arial"/>
          <w:color w:val="000000"/>
        </w:rPr>
      </w:pPr>
    </w:p>
    <w:p w:rsidR="00000000" w:rsidRDefault="000E1CA1">
      <w:pPr>
        <w:pStyle w:val="Ttulo3"/>
        <w:spacing w:line="480" w:lineRule="auto"/>
        <w:ind w:left="902" w:firstLine="0"/>
        <w:rPr>
          <w:rFonts w:ascii="Arial" w:hAnsi="Arial" w:cs="Arial"/>
          <w:color w:val="000000"/>
        </w:rPr>
      </w:pPr>
      <w:r>
        <w:rPr>
          <w:rFonts w:ascii="Arial" w:hAnsi="Arial" w:cs="Arial"/>
          <w:color w:val="000000"/>
        </w:rPr>
        <w:t>2.1.2.3   Industria</w:t>
      </w:r>
    </w:p>
    <w:p w:rsidR="00000000" w:rsidRDefault="000E1CA1">
      <w:pPr>
        <w:spacing w:line="480" w:lineRule="auto"/>
        <w:ind w:left="902"/>
        <w:jc w:val="both"/>
        <w:rPr>
          <w:rFonts w:ascii="Arial" w:hAnsi="Arial" w:cs="Arial"/>
        </w:rPr>
      </w:pPr>
      <w:r>
        <w:rPr>
          <w:rFonts w:ascii="Arial" w:hAnsi="Arial" w:cs="Arial"/>
        </w:rPr>
        <w:t>Si se compara con otras provincias, el desarrollo industrial del Imbabura es bajo. Sin embargo, el número de personas ocupadas en la industria manufacturera es más alto que en otras provincias. Las principales ramas manufactu</w:t>
      </w:r>
      <w:r>
        <w:rPr>
          <w:rFonts w:ascii="Arial" w:hAnsi="Arial" w:cs="Arial"/>
        </w:rPr>
        <w:t>reras son: textiles, confección de prendas de vestir, artículos de cuero, la industria de producción alimenticias y bebidas.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2.1.3   Provincia de Pichincha</w:t>
      </w:r>
    </w:p>
    <w:p w:rsidR="00000000" w:rsidRDefault="000E1CA1">
      <w:pPr>
        <w:spacing w:line="480" w:lineRule="auto"/>
        <w:ind w:left="902"/>
        <w:jc w:val="both"/>
        <w:rPr>
          <w:rFonts w:ascii="Arial" w:hAnsi="Arial" w:cs="Arial"/>
        </w:rPr>
      </w:pPr>
      <w:r>
        <w:rPr>
          <w:rFonts w:ascii="Arial" w:hAnsi="Arial" w:cs="Arial"/>
          <w:b/>
          <w:bCs/>
        </w:rPr>
        <w:t>Recursos Naturales :</w:t>
      </w:r>
      <w:r>
        <w:rPr>
          <w:rFonts w:ascii="Arial" w:hAnsi="Arial" w:cs="Arial"/>
        </w:rPr>
        <w:t xml:space="preserve"> Ganadería, café, cebada, caolines, etc. </w:t>
      </w:r>
    </w:p>
    <w:p w:rsidR="00000000" w:rsidRDefault="000E1CA1">
      <w:pPr>
        <w:spacing w:line="480" w:lineRule="auto"/>
        <w:ind w:left="902"/>
        <w:jc w:val="both"/>
        <w:rPr>
          <w:rFonts w:ascii="Arial" w:hAnsi="Arial" w:cs="Arial"/>
        </w:rPr>
      </w:pPr>
      <w:r>
        <w:rPr>
          <w:rFonts w:ascii="Arial" w:hAnsi="Arial" w:cs="Arial"/>
          <w:b/>
          <w:bCs/>
        </w:rPr>
        <w:t>Industria :</w:t>
      </w:r>
      <w:r>
        <w:rPr>
          <w:rFonts w:ascii="Arial" w:hAnsi="Arial" w:cs="Arial"/>
        </w:rPr>
        <w:t xml:space="preserve"> Alimentos, bebidas, tex</w:t>
      </w:r>
      <w:r>
        <w:rPr>
          <w:rFonts w:ascii="Arial" w:hAnsi="Arial" w:cs="Arial"/>
        </w:rPr>
        <w:t xml:space="preserve">tiles, madera, maquinaria, etc. </w:t>
      </w:r>
    </w:p>
    <w:p w:rsidR="00000000" w:rsidRDefault="000E1CA1">
      <w:pPr>
        <w:spacing w:line="480" w:lineRule="auto"/>
        <w:ind w:left="902"/>
        <w:jc w:val="both"/>
        <w:rPr>
          <w:rFonts w:ascii="Arial" w:hAnsi="Arial" w:cs="Arial"/>
        </w:rPr>
      </w:pPr>
      <w:r>
        <w:rPr>
          <w:rFonts w:ascii="Arial" w:hAnsi="Arial" w:cs="Arial"/>
          <w:b/>
          <w:bCs/>
        </w:rPr>
        <w:t>Comercio :</w:t>
      </w:r>
      <w:r>
        <w:rPr>
          <w:rFonts w:ascii="Arial" w:hAnsi="Arial" w:cs="Arial"/>
        </w:rPr>
        <w:t xml:space="preserve"> Alimentos, bebidas, maquinaria, minerales, etc.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color w:val="000000"/>
        </w:rPr>
      </w:pPr>
      <w:r>
        <w:rPr>
          <w:rFonts w:ascii="Arial" w:hAnsi="Arial" w:cs="Arial"/>
          <w:b/>
          <w:bCs/>
        </w:rPr>
        <w:t xml:space="preserve">2.1.3.1   </w:t>
      </w:r>
      <w:r>
        <w:rPr>
          <w:rFonts w:ascii="Arial" w:hAnsi="Arial" w:cs="Arial"/>
          <w:b/>
          <w:color w:val="000000"/>
        </w:rPr>
        <w:t>Agricultura y ganadería</w:t>
      </w:r>
    </w:p>
    <w:p w:rsidR="00000000" w:rsidRDefault="000E1CA1">
      <w:pPr>
        <w:pStyle w:val="Textoindependiente"/>
        <w:spacing w:line="480" w:lineRule="auto"/>
        <w:ind w:left="902"/>
        <w:rPr>
          <w:rFonts w:ascii="Arial" w:hAnsi="Arial" w:cs="Arial"/>
        </w:rPr>
      </w:pPr>
      <w:r>
        <w:rPr>
          <w:rFonts w:ascii="Arial" w:hAnsi="Arial" w:cs="Arial"/>
        </w:rPr>
        <w:t xml:space="preserve">Pichincha que es una provincia interandina, sin embargo comparte las características de las tres regiones del país: litoral, </w:t>
      </w:r>
      <w:r>
        <w:rPr>
          <w:rFonts w:ascii="Arial" w:hAnsi="Arial" w:cs="Arial"/>
        </w:rPr>
        <w:t>sierra y oriente, aunque la primera y la última en proporciones menores. Esto explica la diversidad de su producción agrícola.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Los valles de Machachi y Cayambe han sido empleados para la formación de grandes hatos de ganado bovino, por lo cual se han co</w:t>
      </w:r>
      <w:r>
        <w:rPr>
          <w:rFonts w:ascii="Arial" w:hAnsi="Arial" w:cs="Arial"/>
        </w:rPr>
        <w:t>nvertido en importantes centros de abastecimiento lechero. Su población de ganado bovino supera el medio millón de cabezas y se ubica en segundo lugar después de Manabí.</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provincia de Pichincha se destaca en la producción de: Banano (ocupa segundo lug</w:t>
      </w:r>
      <w:r>
        <w:rPr>
          <w:rFonts w:ascii="Arial" w:hAnsi="Arial" w:cs="Arial"/>
        </w:rPr>
        <w:t xml:space="preserve">ar en la producción de las provincias serranas después de Cañar), café (ocupa el primero entre las serranas), cebada (segundo lugar después de Chimborazo), maíz suave choclo (primer lugar), papa (tercer lugar después de Carchi y Chimborazo, pero en cambio </w:t>
      </w:r>
      <w:r>
        <w:rPr>
          <w:rFonts w:ascii="Arial" w:hAnsi="Arial" w:cs="Arial"/>
        </w:rPr>
        <w:t>es la producción más alta del país).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la débil producción nacional de trigo, Pichincha ocupa el primer lugar. La producción de Palma africana se encuentra concentrada especialmente en la zona de Santo Domingo de los Colorados. Las condiciones ecológic</w:t>
      </w:r>
      <w:r>
        <w:rPr>
          <w:rFonts w:ascii="Arial" w:hAnsi="Arial" w:cs="Arial"/>
        </w:rPr>
        <w:t>as de los valles de Guayllabamba y Puéllaro, ubicados en el piso tropical y subtropical interandino, con una temperatura mayor a los 20 grados C han hecho posible una buena producción de excelentes frutas de clima temperado como chirimoya, granadilla, mand</w:t>
      </w:r>
      <w:r>
        <w:rPr>
          <w:rFonts w:ascii="Arial" w:hAnsi="Arial" w:cs="Arial"/>
        </w:rPr>
        <w:t xml:space="preserve">arina, aguacate, etc.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2.1.3.2    Industria</w:t>
      </w:r>
    </w:p>
    <w:p w:rsidR="00000000" w:rsidRDefault="000E1CA1">
      <w:pPr>
        <w:spacing w:line="480" w:lineRule="auto"/>
        <w:ind w:left="902"/>
        <w:jc w:val="both"/>
        <w:rPr>
          <w:rFonts w:ascii="Arial" w:hAnsi="Arial" w:cs="Arial"/>
        </w:rPr>
      </w:pPr>
      <w:r>
        <w:rPr>
          <w:rFonts w:ascii="Arial" w:hAnsi="Arial" w:cs="Arial"/>
        </w:rPr>
        <w:t>Entre las provincias de Pichincha y Guayas está concentrada casi la totalidad de la producción industrial ecuatoriana. Dentro de Pichincha, la concentración se presenta en el cantón Quito. Entre las ramas indu</w:t>
      </w:r>
      <w:r>
        <w:rPr>
          <w:rFonts w:ascii="Arial" w:hAnsi="Arial" w:cs="Arial"/>
        </w:rPr>
        <w:t xml:space="preserve">striales que se han desarrollado están las siguientes: Alimentos y bebidas, textiles, industrias del cuero, de la confección, de la madera, de productos químicos y farmacéuticos, industrias metales, de maquinaria y equipo, de artes gráficas.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2.1.4    P</w:t>
      </w:r>
      <w:r>
        <w:rPr>
          <w:rFonts w:ascii="Arial" w:hAnsi="Arial" w:cs="Arial"/>
          <w:b/>
          <w:bCs/>
          <w:i w:val="0"/>
          <w:iCs w:val="0"/>
        </w:rPr>
        <w:t>rovincia de Cotopaxi</w:t>
      </w:r>
    </w:p>
    <w:p w:rsidR="00000000" w:rsidRDefault="000E1CA1">
      <w:pPr>
        <w:spacing w:line="480" w:lineRule="auto"/>
        <w:ind w:left="902"/>
        <w:jc w:val="both"/>
        <w:rPr>
          <w:rFonts w:ascii="Arial" w:hAnsi="Arial" w:cs="Arial"/>
          <w:bCs/>
        </w:rPr>
      </w:pPr>
      <w:r>
        <w:rPr>
          <w:rFonts w:ascii="Arial" w:hAnsi="Arial" w:cs="Arial"/>
          <w:b/>
        </w:rPr>
        <w:t>Recursos Naturales :</w:t>
      </w:r>
      <w:r>
        <w:rPr>
          <w:rFonts w:ascii="Arial" w:hAnsi="Arial" w:cs="Arial"/>
          <w:bCs/>
        </w:rPr>
        <w:t xml:space="preserve"> Variedad agrícola, mineral, ganadera, etc. </w:t>
      </w:r>
    </w:p>
    <w:p w:rsidR="00000000" w:rsidRDefault="000E1CA1">
      <w:pPr>
        <w:spacing w:line="480" w:lineRule="auto"/>
        <w:ind w:left="902"/>
        <w:jc w:val="both"/>
        <w:rPr>
          <w:rFonts w:ascii="Arial" w:hAnsi="Arial" w:cs="Arial"/>
          <w:bCs/>
        </w:rPr>
      </w:pPr>
      <w:r>
        <w:rPr>
          <w:rFonts w:ascii="Arial" w:hAnsi="Arial" w:cs="Arial"/>
          <w:b/>
        </w:rPr>
        <w:t>Industria :</w:t>
      </w:r>
      <w:r>
        <w:rPr>
          <w:rFonts w:ascii="Arial" w:hAnsi="Arial" w:cs="Arial"/>
          <w:bCs/>
        </w:rPr>
        <w:t xml:space="preserve"> Alimentos, bebidas, metalmecénica, madera, leche, etc. </w:t>
      </w:r>
    </w:p>
    <w:p w:rsidR="00000000" w:rsidRDefault="000E1CA1">
      <w:pPr>
        <w:pStyle w:val="Textoindependiente"/>
        <w:spacing w:line="480" w:lineRule="auto"/>
        <w:ind w:left="902"/>
        <w:rPr>
          <w:rFonts w:ascii="Arial" w:hAnsi="Arial" w:cs="Arial"/>
        </w:rPr>
      </w:pPr>
      <w:r>
        <w:rPr>
          <w:rFonts w:ascii="Arial" w:hAnsi="Arial" w:cs="Arial"/>
          <w:b/>
        </w:rPr>
        <w:t>Turismo :</w:t>
      </w:r>
      <w:r>
        <w:rPr>
          <w:rFonts w:ascii="Arial" w:hAnsi="Arial" w:cs="Arial"/>
        </w:rPr>
        <w:t xml:space="preserve"> Parque nacional Cotopaxi, balnearios, fiestas populares.</w:t>
      </w:r>
    </w:p>
    <w:p w:rsidR="00000000" w:rsidRDefault="000E1CA1">
      <w:pPr>
        <w:pStyle w:val="Textoindependiente"/>
        <w:rPr>
          <w:rFonts w:ascii="Arial" w:hAnsi="Arial" w:cs="Arial"/>
        </w:rPr>
      </w:pPr>
    </w:p>
    <w:p w:rsidR="00000000" w:rsidRDefault="000E1CA1">
      <w:pPr>
        <w:pStyle w:val="Textoindependiente"/>
        <w:rPr>
          <w:rFonts w:ascii="Arial" w:hAnsi="Arial" w:cs="Arial"/>
        </w:rPr>
      </w:pPr>
    </w:p>
    <w:p w:rsidR="00000000" w:rsidRDefault="000E1CA1">
      <w:pPr>
        <w:pStyle w:val="Textoindependiente"/>
        <w:ind w:left="902"/>
        <w:rPr>
          <w:rFonts w:ascii="Arial" w:hAnsi="Arial" w:cs="Arial"/>
          <w:b/>
          <w:bCs/>
        </w:rPr>
      </w:pPr>
      <w:r>
        <w:rPr>
          <w:rFonts w:ascii="Arial" w:hAnsi="Arial" w:cs="Arial"/>
          <w:b/>
          <w:bCs/>
        </w:rPr>
        <w:t>2.1.4.1  Minas</w:t>
      </w:r>
    </w:p>
    <w:p w:rsidR="00000000" w:rsidRDefault="000E1CA1">
      <w:pPr>
        <w:pStyle w:val="Textoindependiente"/>
        <w:ind w:left="960"/>
        <w:rPr>
          <w:rFonts w:ascii="Arial" w:hAnsi="Arial" w:cs="Arial"/>
          <w:b/>
          <w:bCs/>
        </w:rPr>
      </w:pPr>
    </w:p>
    <w:p w:rsidR="00000000" w:rsidRDefault="000E1CA1">
      <w:pPr>
        <w:spacing w:line="480" w:lineRule="auto"/>
        <w:ind w:left="902"/>
        <w:jc w:val="both"/>
        <w:rPr>
          <w:rFonts w:ascii="Arial" w:hAnsi="Arial" w:cs="Arial"/>
        </w:rPr>
      </w:pPr>
      <w:r>
        <w:rPr>
          <w:rFonts w:ascii="Arial" w:hAnsi="Arial" w:cs="Arial"/>
        </w:rPr>
        <w:t>La provincia es r</w:t>
      </w:r>
      <w:r>
        <w:rPr>
          <w:rFonts w:ascii="Arial" w:hAnsi="Arial" w:cs="Arial"/>
        </w:rPr>
        <w:t xml:space="preserve">ica en minerales, la mayoría de los cuales no han sido explotados. Hasta l983 no se encontraba registrado ningún establecimiento minero, pero posteriormente el Instituto Ecuatoriano de Minería ha registrado depósitos de metales preciosos, de otros metales </w:t>
      </w:r>
      <w:r>
        <w:rPr>
          <w:rFonts w:ascii="Arial" w:hAnsi="Arial" w:cs="Arial"/>
        </w:rPr>
        <w:t xml:space="preserve">y no metales y numerosas canteras. Existen yacimientos de salitre, calizas, arcilla, carbonatos, piedra pómez. Esta última es abundante y se la aprovecha sin control. </w:t>
      </w:r>
    </w:p>
    <w:p w:rsidR="00000000" w:rsidRDefault="000E1CA1">
      <w:pPr>
        <w:pStyle w:val="Ttulo4"/>
        <w:ind w:firstLine="0"/>
        <w:rPr>
          <w:rFonts w:ascii="Arial" w:hAnsi="Arial" w:cs="Arial"/>
          <w:b w:val="0"/>
          <w:bCs w:val="0"/>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4"/>
        <w:spacing w:line="480" w:lineRule="auto"/>
        <w:ind w:left="902" w:firstLine="0"/>
        <w:rPr>
          <w:rFonts w:ascii="Arial" w:hAnsi="Arial" w:cs="Arial"/>
        </w:rPr>
      </w:pPr>
      <w:r>
        <w:rPr>
          <w:rFonts w:ascii="Arial" w:hAnsi="Arial" w:cs="Arial"/>
        </w:rPr>
        <w:t>2.1.4.2   Agricultura y Ganadería</w:t>
      </w:r>
    </w:p>
    <w:p w:rsidR="00000000" w:rsidRDefault="000E1CA1">
      <w:pPr>
        <w:pStyle w:val="Textoindependiente"/>
        <w:spacing w:line="480" w:lineRule="auto"/>
        <w:ind w:left="902"/>
        <w:rPr>
          <w:rFonts w:ascii="Arial" w:hAnsi="Arial" w:cs="Arial"/>
        </w:rPr>
      </w:pPr>
      <w:r>
        <w:rPr>
          <w:rFonts w:ascii="Arial" w:hAnsi="Arial" w:cs="Arial"/>
        </w:rPr>
        <w:t>Cotopaxi es una provincia serrana típica donde tien</w:t>
      </w:r>
      <w:r>
        <w:rPr>
          <w:rFonts w:ascii="Arial" w:hAnsi="Arial" w:cs="Arial"/>
        </w:rPr>
        <w:t xml:space="preserve">en importancia el minifundio y las grandes explotaciones. La ganadería lechera se desarrolla especialmente en las haciendas situadas al norte de la provincia: San Agustín, La Avelina, San Sebastián, Pilacoto, San Mateo, San Pedro. La ganadería de Cotopaxi </w:t>
      </w:r>
      <w:r>
        <w:rPr>
          <w:rFonts w:ascii="Arial" w:hAnsi="Arial" w:cs="Arial"/>
        </w:rPr>
        <w:t xml:space="preserve">es una de las más importantes del país, lo cual se debe especialmente a los buenos pastos y a la mayor eficiencia productiva.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cultivo agrícola más importante es de papas especialmente en las haciendas del páramo sur-oriental, Cusubamba y sector de S</w:t>
      </w:r>
      <w:r>
        <w:rPr>
          <w:rFonts w:ascii="Arial" w:hAnsi="Arial" w:cs="Arial"/>
        </w:rPr>
        <w:t>alcedo. le sigue en importancia la producción de yuca, cebollas, aguacate, cebada, naranja, maíz, haba, fréjol y caña para otros usos.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b/>
          <w:color w:val="000000"/>
        </w:rPr>
      </w:pPr>
      <w:r>
        <w:rPr>
          <w:rFonts w:ascii="Arial" w:hAnsi="Arial" w:cs="Arial"/>
          <w:b/>
          <w:color w:val="000000"/>
        </w:rPr>
        <w:t xml:space="preserve">2.1.4.3   Industria </w:t>
      </w:r>
    </w:p>
    <w:p w:rsidR="00000000" w:rsidRDefault="000E1CA1">
      <w:pPr>
        <w:spacing w:line="480" w:lineRule="auto"/>
        <w:ind w:left="902"/>
        <w:jc w:val="both"/>
        <w:rPr>
          <w:rFonts w:ascii="Arial" w:hAnsi="Arial" w:cs="Arial"/>
        </w:rPr>
      </w:pPr>
      <w:r>
        <w:rPr>
          <w:rFonts w:ascii="Arial" w:hAnsi="Arial" w:cs="Arial"/>
        </w:rPr>
        <w:t>Las principales ramas industriales instaladas en la provincia son las siguientes: Alimentos y beb</w:t>
      </w:r>
      <w:r>
        <w:rPr>
          <w:rFonts w:ascii="Arial" w:hAnsi="Arial" w:cs="Arial"/>
        </w:rPr>
        <w:t xml:space="preserve">idas, tabaco, manufacturas metálicas, maquinaria y equipo, industrias del mueble y de la madera. La mayoría de ellas están ubicadas al norte, junto a la carretera Panamericana. En procesamiento de leche son importantes las plantas La Avelina e Indulac. En </w:t>
      </w:r>
      <w:r>
        <w:rPr>
          <w:rFonts w:ascii="Arial" w:hAnsi="Arial" w:cs="Arial"/>
        </w:rPr>
        <w:t>productos metálicos Ecuatubex, Necchi, Bujías NGK, Orbea.</w:t>
      </w:r>
    </w:p>
    <w:p w:rsidR="00000000" w:rsidRDefault="000E1CA1">
      <w:pPr>
        <w:jc w:val="both"/>
        <w:rPr>
          <w:rFonts w:ascii="Arial" w:hAnsi="Arial" w:cs="Arial"/>
        </w:rPr>
      </w:pPr>
      <w:r>
        <w:rPr>
          <w:rFonts w:ascii="Arial" w:hAnsi="Arial" w:cs="Arial"/>
        </w:rPr>
        <w:t xml:space="preserve">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2.1.5   Provincia de Bolívar</w:t>
      </w:r>
    </w:p>
    <w:p w:rsidR="00000000" w:rsidRDefault="000E1CA1">
      <w:pPr>
        <w:spacing w:line="480" w:lineRule="auto"/>
        <w:ind w:left="902"/>
        <w:jc w:val="both"/>
        <w:rPr>
          <w:rFonts w:ascii="Arial" w:hAnsi="Arial" w:cs="Arial"/>
        </w:rPr>
      </w:pPr>
      <w:r>
        <w:rPr>
          <w:rFonts w:ascii="Arial" w:hAnsi="Arial" w:cs="Arial"/>
          <w:b/>
          <w:bCs/>
        </w:rPr>
        <w:t>Recursos Naturales :</w:t>
      </w:r>
      <w:r>
        <w:rPr>
          <w:rFonts w:ascii="Arial" w:hAnsi="Arial" w:cs="Arial"/>
        </w:rPr>
        <w:t xml:space="preserve"> Agricultura variada, Ganadería, etc. </w:t>
      </w:r>
    </w:p>
    <w:p w:rsidR="00000000" w:rsidRDefault="000E1CA1">
      <w:pPr>
        <w:spacing w:line="480" w:lineRule="auto"/>
        <w:ind w:left="902"/>
        <w:jc w:val="both"/>
        <w:rPr>
          <w:rFonts w:ascii="Arial" w:hAnsi="Arial" w:cs="Arial"/>
        </w:rPr>
      </w:pPr>
      <w:r>
        <w:rPr>
          <w:rFonts w:ascii="Arial" w:hAnsi="Arial" w:cs="Arial"/>
          <w:b/>
          <w:bCs/>
        </w:rPr>
        <w:t>Industria :</w:t>
      </w:r>
      <w:r>
        <w:rPr>
          <w:rFonts w:ascii="Arial" w:hAnsi="Arial" w:cs="Arial"/>
        </w:rPr>
        <w:t xml:space="preserve"> Armería, Artesanía, Pirotecnia, Minería, etc. </w:t>
      </w:r>
    </w:p>
    <w:p w:rsidR="00000000" w:rsidRDefault="000E1CA1">
      <w:pPr>
        <w:spacing w:line="480" w:lineRule="auto"/>
        <w:ind w:left="902"/>
        <w:jc w:val="both"/>
        <w:rPr>
          <w:rFonts w:ascii="Arial" w:hAnsi="Arial" w:cs="Arial"/>
        </w:rPr>
      </w:pPr>
      <w:r>
        <w:rPr>
          <w:rFonts w:ascii="Arial" w:hAnsi="Arial" w:cs="Arial"/>
          <w:b/>
          <w:bCs/>
        </w:rPr>
        <w:t>Comercio :</w:t>
      </w:r>
      <w:r>
        <w:rPr>
          <w:rFonts w:ascii="Arial" w:hAnsi="Arial" w:cs="Arial"/>
        </w:rPr>
        <w:t xml:space="preserve"> Alimentos, Minerales, Agrícolas, etc</w:t>
      </w:r>
      <w:r>
        <w:rPr>
          <w:rFonts w:ascii="Arial" w:hAnsi="Arial" w:cs="Arial"/>
        </w:rPr>
        <w: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color w:val="000000"/>
        </w:rPr>
      </w:pPr>
      <w:r>
        <w:rPr>
          <w:rFonts w:ascii="Arial" w:hAnsi="Arial" w:cs="Arial"/>
          <w:b/>
          <w:color w:val="000000"/>
        </w:rPr>
        <w:t>2.1.5.1   Agricultura</w:t>
      </w:r>
    </w:p>
    <w:p w:rsidR="00000000" w:rsidRDefault="000E1CA1">
      <w:pPr>
        <w:spacing w:line="480" w:lineRule="auto"/>
        <w:ind w:left="902"/>
        <w:jc w:val="both"/>
        <w:rPr>
          <w:rFonts w:ascii="Arial" w:hAnsi="Arial" w:cs="Arial"/>
        </w:rPr>
      </w:pPr>
      <w:r>
        <w:rPr>
          <w:rFonts w:ascii="Arial" w:hAnsi="Arial" w:cs="Arial"/>
        </w:rPr>
        <w:t xml:space="preserve">Por su ubicación en zonas altas frías y bajas cálidas, esta provincia tiene una producción agrícola muy variada tanto de productos propios de la sierra (papas, trigo, lenteja, mellocos, maíz, etc.) como de aquellos propio de las </w:t>
      </w:r>
      <w:r>
        <w:rPr>
          <w:rFonts w:ascii="Arial" w:hAnsi="Arial" w:cs="Arial"/>
        </w:rPr>
        <w:t>zonas subtropicales: caña de azúcar, café, caco, naranjas, papayas, limones, mandarinas, aguacates, etc. Dentro de su flora encontramos maderas como el quebracho, laurel, baba, motilón, zapán platuquero. También existen áreas de pinos, cipreses y eucalipto</w:t>
      </w:r>
      <w:r>
        <w:rPr>
          <w:rFonts w:ascii="Arial" w:hAnsi="Arial" w:cs="Arial"/>
        </w:rPr>
        <w:t xml:space="preserve">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color w:val="000000"/>
        </w:rPr>
      </w:pPr>
      <w:r>
        <w:rPr>
          <w:rFonts w:ascii="Arial" w:hAnsi="Arial" w:cs="Arial"/>
          <w:b/>
          <w:color w:val="000000"/>
        </w:rPr>
        <w:t>2.1.5.2    Ganadería</w:t>
      </w:r>
    </w:p>
    <w:p w:rsidR="00000000" w:rsidRDefault="000E1CA1">
      <w:pPr>
        <w:spacing w:line="480" w:lineRule="auto"/>
        <w:ind w:left="902"/>
        <w:jc w:val="both"/>
        <w:rPr>
          <w:rFonts w:ascii="Arial" w:hAnsi="Arial" w:cs="Arial"/>
        </w:rPr>
      </w:pPr>
      <w:r>
        <w:rPr>
          <w:rFonts w:ascii="Arial" w:hAnsi="Arial" w:cs="Arial"/>
        </w:rPr>
        <w:t>El sector ganadero se ha desarrollado en los últimos años. La abundante producción lechera ha permitido que tome impulso la producción de quesos y lácteos especialmente en la población de Salinas, al norte de la capital de la pr</w:t>
      </w:r>
      <w:r>
        <w:rPr>
          <w:rFonts w:ascii="Arial" w:hAnsi="Arial" w:cs="Arial"/>
        </w:rPr>
        <w:t xml:space="preserve">ovincia. Los quesos son fabricados con técnicas modernas y se los ha empezado a exportar. También es importante la población de ganado porcino y ovino, éste último situado en su mayor parte en Guaranda.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rPr>
        <w:t>2.1.5.3   Estructura productiva</w:t>
      </w:r>
      <w:r>
        <w:rPr>
          <w:rFonts w:ascii="Arial" w:hAnsi="Arial" w:cs="Arial"/>
        </w:rPr>
        <w:t xml:space="preserve"> </w:t>
      </w:r>
    </w:p>
    <w:p w:rsidR="00000000" w:rsidRDefault="000E1CA1">
      <w:pPr>
        <w:pStyle w:val="Textoindependiente"/>
        <w:spacing w:line="480" w:lineRule="auto"/>
        <w:ind w:left="902"/>
        <w:rPr>
          <w:rFonts w:ascii="Arial" w:hAnsi="Arial" w:cs="Arial"/>
        </w:rPr>
      </w:pPr>
      <w:r>
        <w:rPr>
          <w:rFonts w:ascii="Arial" w:hAnsi="Arial" w:cs="Arial"/>
        </w:rPr>
        <w:t xml:space="preserve">En la provincia </w:t>
      </w:r>
      <w:r>
        <w:rPr>
          <w:rFonts w:ascii="Arial" w:hAnsi="Arial" w:cs="Arial"/>
        </w:rPr>
        <w:t>predomina el minifundio y la productividad agrícola es baja por el empobrecimiento de los suelos, el empleo de deficientes sistemas de producción. Predomina el minifundio pues el 67% de las unidades productivas tienen menos de 5 hectáreas de extensión mien</w:t>
      </w:r>
      <w:r>
        <w:rPr>
          <w:rFonts w:ascii="Arial" w:hAnsi="Arial" w:cs="Arial"/>
        </w:rPr>
        <w:t>tras el 1% tiene sobre las 100 has. La desigualdad distribución de la tierra agrava la situación económica ya que las pequeñas parcelas están situadas en suelos menos fértiles y de fuerte pendiente. 250 mil hectáreas están ocupadas con cultivos agrícolas y</w:t>
      </w:r>
      <w:r>
        <w:rPr>
          <w:rFonts w:ascii="Arial" w:hAnsi="Arial" w:cs="Arial"/>
        </w:rPr>
        <w:t xml:space="preserve"> pastos, lo cual es excesivo pues se calcula que apenas 160 mil hectáreas serían aprovechables.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los años recientes ha aumentado la superficie de cultivos de café, maíz suave y cacao. Para la comercialización no existen centros de acopio, son insufici</w:t>
      </w:r>
      <w:r>
        <w:rPr>
          <w:rFonts w:ascii="Arial" w:hAnsi="Arial" w:cs="Arial"/>
        </w:rPr>
        <w:t xml:space="preserve">entes los caminos vecinales y existe una abundante red de intermediarios. Los productores tampoco están organizados.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2.1.5.4   Minas</w:t>
      </w:r>
    </w:p>
    <w:p w:rsidR="00000000" w:rsidRDefault="000E1CA1">
      <w:pPr>
        <w:spacing w:line="480" w:lineRule="auto"/>
        <w:ind w:left="902"/>
        <w:jc w:val="both"/>
        <w:rPr>
          <w:rFonts w:ascii="Arial" w:hAnsi="Arial" w:cs="Arial"/>
        </w:rPr>
      </w:pPr>
      <w:r>
        <w:rPr>
          <w:rFonts w:ascii="Arial" w:hAnsi="Arial" w:cs="Arial"/>
        </w:rPr>
        <w:t>Existen minas de arcilla y caolín en Ayurco, Santiago, Chimbo, Santa Fe, San Lorenzo, San Miguel. En Chillanes se utili</w:t>
      </w:r>
      <w:r>
        <w:rPr>
          <w:rFonts w:ascii="Arial" w:hAnsi="Arial" w:cs="Arial"/>
        </w:rPr>
        <w:t xml:space="preserve">za la tierra blanca o amarilla para trabajos de artesanía. En Talagua y Simiatug se encuentran yacimientos de zinc, cobre, plata y molibdeno; en San Antonio, antimonio y mercurio; en el Salado, al norte de Guaranda se encuentra rocas metamórficas y tierra </w:t>
      </w:r>
      <w:r>
        <w:rPr>
          <w:rFonts w:ascii="Arial" w:hAnsi="Arial" w:cs="Arial"/>
        </w:rPr>
        <w:t xml:space="preserve">silícea; en </w:t>
      </w:r>
      <w:r>
        <w:rPr>
          <w:rFonts w:ascii="Arial" w:hAnsi="Arial" w:cs="Arial"/>
          <w:color w:val="000000"/>
        </w:rPr>
        <w:t xml:space="preserve">Salinas </w:t>
      </w:r>
      <w:r>
        <w:rPr>
          <w:rFonts w:ascii="Arial" w:hAnsi="Arial" w:cs="Arial"/>
        </w:rPr>
        <w:t xml:space="preserve">minas de sal y a orillas del río Chimbo aguas minerales. Al sur de Balzapamba, montmorillonita (de uso en cerámica) y en Las Naves y el Ensillado, depósitos aluviales de oro.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2.1.6    Provincia de Tungurahua</w:t>
      </w:r>
    </w:p>
    <w:p w:rsidR="00000000" w:rsidRDefault="000E1CA1">
      <w:pPr>
        <w:spacing w:line="480" w:lineRule="auto"/>
        <w:ind w:left="902"/>
        <w:jc w:val="both"/>
        <w:rPr>
          <w:rFonts w:ascii="Arial" w:hAnsi="Arial" w:cs="Arial"/>
        </w:rPr>
      </w:pPr>
      <w:r>
        <w:rPr>
          <w:rFonts w:ascii="Arial" w:hAnsi="Arial" w:cs="Arial"/>
          <w:b/>
        </w:rPr>
        <w:t xml:space="preserve">Recursos Naturales: </w:t>
      </w:r>
      <w:r>
        <w:rPr>
          <w:rFonts w:ascii="Arial" w:hAnsi="Arial" w:cs="Arial"/>
        </w:rPr>
        <w:t>Hort</w:t>
      </w:r>
      <w:r>
        <w:rPr>
          <w:rFonts w:ascii="Arial" w:hAnsi="Arial" w:cs="Arial"/>
        </w:rPr>
        <w:t>alizas, tubérculos, flores y frutas.</w:t>
      </w:r>
    </w:p>
    <w:p w:rsidR="00000000" w:rsidRDefault="000E1CA1">
      <w:pPr>
        <w:spacing w:line="480" w:lineRule="auto"/>
        <w:ind w:left="902"/>
        <w:jc w:val="both"/>
        <w:rPr>
          <w:rFonts w:ascii="Arial" w:hAnsi="Arial" w:cs="Arial"/>
        </w:rPr>
      </w:pPr>
      <w:r>
        <w:rPr>
          <w:rFonts w:ascii="Arial" w:hAnsi="Arial" w:cs="Arial"/>
          <w:b/>
        </w:rPr>
        <w:t xml:space="preserve">Industria : </w:t>
      </w:r>
      <w:r>
        <w:rPr>
          <w:rFonts w:ascii="Arial" w:hAnsi="Arial" w:cs="Arial"/>
        </w:rPr>
        <w:t xml:space="preserve">Textil, confección, cuero, vestidos, calzado, muebles, etc. </w:t>
      </w:r>
    </w:p>
    <w:p w:rsidR="00000000" w:rsidRDefault="000E1CA1">
      <w:pPr>
        <w:spacing w:line="480" w:lineRule="auto"/>
        <w:ind w:left="902"/>
        <w:jc w:val="both"/>
        <w:rPr>
          <w:rFonts w:ascii="Arial" w:hAnsi="Arial" w:cs="Arial"/>
        </w:rPr>
      </w:pPr>
      <w:r>
        <w:rPr>
          <w:rFonts w:ascii="Arial" w:hAnsi="Arial" w:cs="Arial"/>
          <w:b/>
        </w:rPr>
        <w:t xml:space="preserve">Turismo : </w:t>
      </w:r>
      <w:r>
        <w:rPr>
          <w:rFonts w:ascii="Arial" w:hAnsi="Arial" w:cs="Arial"/>
        </w:rPr>
        <w:t xml:space="preserve">Fiestas de las flores y las frutas, Baños de Ambato, etc.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5"/>
        <w:spacing w:line="480" w:lineRule="auto"/>
        <w:ind w:left="902"/>
        <w:jc w:val="both"/>
        <w:rPr>
          <w:rFonts w:ascii="Arial" w:hAnsi="Arial" w:cs="Arial"/>
          <w:color w:val="auto"/>
          <w:sz w:val="24"/>
        </w:rPr>
      </w:pPr>
      <w:r>
        <w:rPr>
          <w:rFonts w:ascii="Arial" w:hAnsi="Arial" w:cs="Arial"/>
          <w:color w:val="auto"/>
          <w:sz w:val="24"/>
        </w:rPr>
        <w:t>2.1.6.1   Agricultura</w:t>
      </w:r>
    </w:p>
    <w:p w:rsidR="00000000" w:rsidRDefault="000E1CA1">
      <w:pPr>
        <w:spacing w:line="480" w:lineRule="auto"/>
        <w:ind w:left="902"/>
        <w:jc w:val="both"/>
        <w:rPr>
          <w:rFonts w:ascii="Arial" w:hAnsi="Arial" w:cs="Arial"/>
        </w:rPr>
      </w:pPr>
      <w:r>
        <w:rPr>
          <w:rFonts w:ascii="Arial" w:hAnsi="Arial" w:cs="Arial"/>
        </w:rPr>
        <w:t>La agricultura constituye la actividad de mayor rele</w:t>
      </w:r>
      <w:r>
        <w:rPr>
          <w:rFonts w:ascii="Arial" w:hAnsi="Arial" w:cs="Arial"/>
        </w:rPr>
        <w:t>vancia en la economía de la provincia, pues concentra en esta actividad a un 40% de la población económicamente activa y además, cerca del 50% de las tierras se destinan a la actividad agropecuaria. La variedad de suelos permite que Tungurahua cuente con u</w:t>
      </w:r>
      <w:r>
        <w:rPr>
          <w:rFonts w:ascii="Arial" w:hAnsi="Arial" w:cs="Arial"/>
        </w:rPr>
        <w:t xml:space="preserve">na producción agrícola diversificada y abundante especialmente de tubérculos, raíces, hortalizas y frutas. </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b/>
          <w:bCs/>
        </w:rPr>
      </w:pPr>
      <w:r>
        <w:rPr>
          <w:rFonts w:ascii="Arial" w:hAnsi="Arial" w:cs="Arial"/>
          <w:b/>
          <w:bCs/>
        </w:rPr>
        <w:t>2.1.6.2   Ganadería</w:t>
      </w:r>
    </w:p>
    <w:p w:rsidR="00000000" w:rsidRDefault="000E1CA1">
      <w:pPr>
        <w:spacing w:line="480" w:lineRule="auto"/>
        <w:ind w:left="902"/>
        <w:jc w:val="both"/>
        <w:rPr>
          <w:rFonts w:ascii="Arial" w:hAnsi="Arial" w:cs="Arial"/>
        </w:rPr>
      </w:pPr>
      <w:r>
        <w:rPr>
          <w:rFonts w:ascii="Arial" w:hAnsi="Arial" w:cs="Arial"/>
        </w:rPr>
        <w:t>La provincia tiene una importante producción ganadera pero ocupa el decimotercero lugar a nivel nacional respecto a la poblac</w:t>
      </w:r>
      <w:r>
        <w:rPr>
          <w:rFonts w:ascii="Arial" w:hAnsi="Arial" w:cs="Arial"/>
        </w:rPr>
        <w:t xml:space="preserve">ión de ganado bovino. Para 1986 se calculó un total de 115.300 cabezas de ganado. El sector avícola ha alcanzado un rápido desarrollo.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2.1.6.3   Industria Manufacturera</w:t>
      </w:r>
    </w:p>
    <w:p w:rsidR="00000000" w:rsidRDefault="000E1CA1">
      <w:pPr>
        <w:spacing w:line="480" w:lineRule="auto"/>
        <w:ind w:left="902"/>
        <w:jc w:val="both"/>
        <w:rPr>
          <w:rFonts w:ascii="Arial" w:hAnsi="Arial" w:cs="Arial"/>
        </w:rPr>
      </w:pPr>
      <w:r>
        <w:rPr>
          <w:rFonts w:ascii="Arial" w:hAnsi="Arial" w:cs="Arial"/>
        </w:rPr>
        <w:t>Es importante en el contexto nacional la actividad manufacturera de la provincia pu</w:t>
      </w:r>
      <w:r>
        <w:rPr>
          <w:rFonts w:ascii="Arial" w:hAnsi="Arial" w:cs="Arial"/>
        </w:rPr>
        <w:t xml:space="preserve">es conformaría el segundo sector de provincias ( junto con Azuay y Manabí) que agrupan entre 50 y 100 plantas industriales. El primer sector está conformado por Pichincha Y Guayas que está conformado por 400 plantas.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La producción manufacturera da trab</w:t>
      </w:r>
      <w:r>
        <w:rPr>
          <w:rFonts w:ascii="Arial" w:hAnsi="Arial" w:cs="Arial"/>
        </w:rPr>
        <w:t>ajo a cerca de 3.000 personas. Las ramas industriales más importantes son la textil, de confección y la industria del cuero en primer lugar, seguidas por la de 'alimentos y bebidas y la de 'producto químicos. Tungurahua cuenta con un parque industrial ubic</w:t>
      </w:r>
      <w:r>
        <w:rPr>
          <w:rFonts w:ascii="Arial" w:hAnsi="Arial" w:cs="Arial"/>
        </w:rPr>
        <w:t>ada en el Kilómetro 8 de la carretera panamericana norte. Su extensión es de 84 has. divididas en 251 lotes. El parque tiene servicios suficientes de energía eléctrica y de agua potable. Para el desarrollo industrial futuro de la provincia se ha previsto e</w:t>
      </w:r>
      <w:r>
        <w:rPr>
          <w:rFonts w:ascii="Arial" w:hAnsi="Arial" w:cs="Arial"/>
        </w:rPr>
        <w:t>n el campo de la agroindustria para aprovechar sus ventajas en las producción de frutas, legumbres y hortalizas.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rPr>
        <w:t>2.1.6.4   Pequeña industria y artesanía</w:t>
      </w:r>
      <w:r>
        <w:rPr>
          <w:rFonts w:ascii="Arial" w:hAnsi="Arial" w:cs="Arial"/>
        </w:rPr>
        <w:t xml:space="preserve"> </w:t>
      </w:r>
    </w:p>
    <w:p w:rsidR="00000000" w:rsidRDefault="000E1CA1">
      <w:pPr>
        <w:spacing w:line="480" w:lineRule="auto"/>
        <w:ind w:left="902"/>
        <w:jc w:val="both"/>
        <w:rPr>
          <w:rFonts w:ascii="Arial" w:hAnsi="Arial" w:cs="Arial"/>
        </w:rPr>
      </w:pPr>
      <w:r>
        <w:rPr>
          <w:rFonts w:ascii="Arial" w:hAnsi="Arial" w:cs="Arial"/>
        </w:rPr>
        <w:t>La pequeña industria y la artesanía están muy difundidas en la provincia y en los últimos años han a</w:t>
      </w:r>
      <w:r>
        <w:rPr>
          <w:rFonts w:ascii="Arial" w:hAnsi="Arial" w:cs="Arial"/>
        </w:rPr>
        <w:t>umentado las industrias clasificadas en este rubro. En Ambato se han desarrollado especialmente la industria del vestido, lo mismo que en Pasa e Izamba. También en Ambato florece la pequeña industria de cuero (especialmente del calzado) igual que en Pinllo</w:t>
      </w:r>
      <w:r>
        <w:rPr>
          <w:rFonts w:ascii="Arial" w:hAnsi="Arial" w:cs="Arial"/>
        </w:rPr>
        <w:t xml:space="preserve"> y Augusto N. Martínez. En Baños se ha desarrollado la artesanía de los muebles de mimbre y la cestería. Hábiles ebanistas trabajan en Píllaro y San Miguelito, mientras es muy apreciada la artesanía Salasaca (tapices, mantas, vestidos). Ambato tiene una in</w:t>
      </w:r>
      <w:r>
        <w:rPr>
          <w:rFonts w:ascii="Arial" w:hAnsi="Arial" w:cs="Arial"/>
        </w:rPr>
        <w:t xml:space="preserve">dustria panificadora y ha sido reconocida la buena calidad del "pan de Ambato". Se calcula que más de 12.000 familias ambateñas trabajan en la industria del vestido y el calzado.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2.1.6.5   Comercio</w:t>
      </w:r>
    </w:p>
    <w:p w:rsidR="00000000" w:rsidRDefault="000E1CA1">
      <w:pPr>
        <w:spacing w:line="480" w:lineRule="auto"/>
        <w:ind w:left="902"/>
        <w:jc w:val="both"/>
        <w:rPr>
          <w:rFonts w:ascii="Arial" w:hAnsi="Arial" w:cs="Arial"/>
        </w:rPr>
      </w:pPr>
      <w:r>
        <w:rPr>
          <w:rFonts w:ascii="Arial" w:hAnsi="Arial" w:cs="Arial"/>
        </w:rPr>
        <w:t>Es intenso el comercio que se desarrolla en la provinc</w:t>
      </w:r>
      <w:r>
        <w:rPr>
          <w:rFonts w:ascii="Arial" w:hAnsi="Arial" w:cs="Arial"/>
        </w:rPr>
        <w:t>ia y especialmente en la ciudad de Ambato. Como Tungurahua es una provincia central, su ubicación geográfica es privilegiada, pues se halla equidistante de las demás provincias del país y por su territorio fluyen las mercancías que vienen hacia el sur desd</w:t>
      </w:r>
      <w:r>
        <w:rPr>
          <w:rFonts w:ascii="Arial" w:hAnsi="Arial" w:cs="Arial"/>
        </w:rPr>
        <w:t xml:space="preserve">e Quito y el norte lo mismo que las mercancías que van en dirección contraria. A lo largo de la avenida Cevallos en Ambato, se puede constatar el amplio comercio de ropa, electrodomésticos, calzado, artesanías, etc.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2.1.7    Provincia de Chimborazo</w:t>
      </w:r>
    </w:p>
    <w:p w:rsidR="00000000" w:rsidRDefault="000E1CA1">
      <w:pPr>
        <w:spacing w:line="480" w:lineRule="auto"/>
        <w:ind w:left="902"/>
        <w:jc w:val="both"/>
        <w:rPr>
          <w:rFonts w:ascii="Arial" w:hAnsi="Arial" w:cs="Arial"/>
        </w:rPr>
      </w:pPr>
      <w:r>
        <w:rPr>
          <w:rFonts w:ascii="Arial" w:hAnsi="Arial" w:cs="Arial"/>
          <w:b/>
        </w:rPr>
        <w:t>Rec</w:t>
      </w:r>
      <w:r>
        <w:rPr>
          <w:rFonts w:ascii="Arial" w:hAnsi="Arial" w:cs="Arial"/>
          <w:b/>
        </w:rPr>
        <w:t xml:space="preserve">ursos Naturales : </w:t>
      </w:r>
      <w:r>
        <w:rPr>
          <w:rFonts w:ascii="Arial" w:hAnsi="Arial" w:cs="Arial"/>
        </w:rPr>
        <w:t>Agricultura  variada, minería, ganadería, etc.</w:t>
      </w:r>
    </w:p>
    <w:p w:rsidR="00000000" w:rsidRDefault="000E1CA1">
      <w:pPr>
        <w:spacing w:line="480" w:lineRule="auto"/>
        <w:ind w:left="902"/>
        <w:jc w:val="both"/>
        <w:rPr>
          <w:rFonts w:ascii="Arial" w:hAnsi="Arial" w:cs="Arial"/>
        </w:rPr>
      </w:pPr>
      <w:r>
        <w:rPr>
          <w:rFonts w:ascii="Arial" w:hAnsi="Arial" w:cs="Arial"/>
          <w:b/>
        </w:rPr>
        <w:t xml:space="preserve">Industria : </w:t>
      </w:r>
      <w:r>
        <w:rPr>
          <w:rFonts w:ascii="Arial" w:hAnsi="Arial" w:cs="Arial"/>
        </w:rPr>
        <w:t>Cementos Chimborazo, cerámica, alfombras, etc.</w:t>
      </w:r>
    </w:p>
    <w:p w:rsidR="00000000" w:rsidRDefault="000E1CA1">
      <w:pPr>
        <w:spacing w:line="480" w:lineRule="auto"/>
        <w:ind w:left="902"/>
        <w:jc w:val="both"/>
        <w:rPr>
          <w:rFonts w:ascii="Arial" w:hAnsi="Arial" w:cs="Arial"/>
        </w:rPr>
      </w:pPr>
      <w:r>
        <w:rPr>
          <w:rFonts w:ascii="Arial" w:hAnsi="Arial" w:cs="Arial"/>
          <w:b/>
        </w:rPr>
        <w:t xml:space="preserve">Turismo : </w:t>
      </w:r>
      <w:r>
        <w:rPr>
          <w:rFonts w:ascii="Arial" w:hAnsi="Arial" w:cs="Arial"/>
        </w:rPr>
        <w:t>Montañismo, laguna de Colta, ferias semanales,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rPr>
      </w:pPr>
      <w:r>
        <w:rPr>
          <w:rFonts w:ascii="Arial" w:hAnsi="Arial" w:cs="Arial"/>
          <w:b/>
          <w:bCs/>
          <w:i w:val="0"/>
          <w:iCs w:val="0"/>
        </w:rPr>
        <w:t>2.1.7.1   Agricultura</w:t>
      </w:r>
    </w:p>
    <w:p w:rsidR="00000000" w:rsidRDefault="000E1CA1">
      <w:pPr>
        <w:spacing w:line="480" w:lineRule="auto"/>
        <w:ind w:left="902"/>
        <w:jc w:val="both"/>
        <w:rPr>
          <w:rFonts w:ascii="Arial" w:hAnsi="Arial" w:cs="Arial"/>
        </w:rPr>
      </w:pPr>
      <w:r>
        <w:rPr>
          <w:rFonts w:ascii="Arial" w:hAnsi="Arial" w:cs="Arial"/>
        </w:rPr>
        <w:t>La variedad de climas de la provincia favorec</w:t>
      </w:r>
      <w:r>
        <w:rPr>
          <w:rFonts w:ascii="Arial" w:hAnsi="Arial" w:cs="Arial"/>
        </w:rPr>
        <w:t>e una agricultura diversificada. Entre los principales productos se pueden enumerar los siguientes: cereales, tubérculos, legumbres, hortalizas, frutas, plantas medicinales. La producción de patatas es importante y el año l985 sobrepasó las 90 mil tonelada</w:t>
      </w:r>
      <w:r>
        <w:rPr>
          <w:rFonts w:ascii="Arial" w:hAnsi="Arial" w:cs="Arial"/>
        </w:rPr>
        <w:t>s métricas. Otros productos importantes son la cebada, maíz, fréjol, haba, cebolla, lechuga, remolacha, zanahoria amarilla. Un rubro importante es la producción de manzanas en la zona de Penipe - Bayusig. La superficie dedicada al cultivo agrícola se estim</w:t>
      </w:r>
      <w:r>
        <w:rPr>
          <w:rFonts w:ascii="Arial" w:hAnsi="Arial" w:cs="Arial"/>
        </w:rPr>
        <w:t xml:space="preserve">a sobre las 56 mil hectáreas y la de pastos supera las l66 mil hectáreas. De la población ganadera se destaca la bovina, porcina y ovina. En la provincia tiene importancia la población caballar, mular y asnal.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rPr>
        <w:t>2.1.7.2  Minas y otros recursos naturales</w:t>
      </w:r>
      <w:r>
        <w:rPr>
          <w:rFonts w:ascii="Arial" w:hAnsi="Arial" w:cs="Arial"/>
        </w:rPr>
        <w:t xml:space="preserve"> </w:t>
      </w:r>
    </w:p>
    <w:p w:rsidR="00000000" w:rsidRDefault="000E1CA1">
      <w:pPr>
        <w:spacing w:line="480" w:lineRule="auto"/>
        <w:ind w:left="902"/>
        <w:jc w:val="both"/>
        <w:rPr>
          <w:rFonts w:ascii="Arial" w:hAnsi="Arial" w:cs="Arial"/>
        </w:rPr>
      </w:pPr>
      <w:r>
        <w:rPr>
          <w:rFonts w:ascii="Arial" w:hAnsi="Arial" w:cs="Arial"/>
        </w:rPr>
        <w:t>La prospección ha demostrado la existencia de minas de oro, plata, cobre, hierro, yeso e inclusive hidrocarburos. En Tixán existen minas de azufre donde hace algunos años tuvo una concesión la empresa norteamericana Chemical Plants. En Zula (cantón Alausí</w:t>
      </w:r>
      <w:r>
        <w:rPr>
          <w:rFonts w:ascii="Arial" w:hAnsi="Arial" w:cs="Arial"/>
        </w:rPr>
        <w:t>) existen minas de mármol. En aguas termales las más importantes son los Elenes cerca de Guano que curan enfermedades reumáticas y afecciones cutáneas, las de Santa Cruz, Cubijíes, Guayllabamba y Palitagua. Los recursos hídricos son abundantes y se los apr</w:t>
      </w:r>
      <w:r>
        <w:rPr>
          <w:rFonts w:ascii="Arial" w:hAnsi="Arial" w:cs="Arial"/>
        </w:rPr>
        <w:t xml:space="preserve">ovecha en electrificación y riego. Es importante el canal de riego del Chambo que riega una superficie de 7.830 hectáreas. En los ríos Ulpan, Chibunga, Nitiluisa, Sali, Huacona y Timbul se han sembrado cerca de l5.000 alevines.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2.1.7.3   Industrias</w:t>
      </w:r>
    </w:p>
    <w:p w:rsidR="00000000" w:rsidRDefault="000E1CA1">
      <w:pPr>
        <w:spacing w:line="480" w:lineRule="auto"/>
        <w:ind w:left="902"/>
        <w:jc w:val="both"/>
        <w:rPr>
          <w:rFonts w:ascii="Arial" w:hAnsi="Arial" w:cs="Arial"/>
        </w:rPr>
      </w:pPr>
      <w:r>
        <w:rPr>
          <w:rFonts w:ascii="Arial" w:hAnsi="Arial" w:cs="Arial"/>
        </w:rPr>
        <w:t>Rio</w:t>
      </w:r>
      <w:r>
        <w:rPr>
          <w:rFonts w:ascii="Arial" w:hAnsi="Arial" w:cs="Arial"/>
        </w:rPr>
        <w:t>bamba cuenta con un parque industrial al sur de la ciudad cuyo principal accionista es la municipalidad. La rama industrial más importante es la fabricación de productos minerales no metálicos. En esta rama se encuentra el mayor número de personas ocupadas</w:t>
      </w:r>
      <w:r>
        <w:rPr>
          <w:rFonts w:ascii="Arial" w:hAnsi="Arial" w:cs="Arial"/>
        </w:rPr>
        <w:t xml:space="preserve"> (dentro de la actividad manufacturera). Son importantes la fábrica de Cemento Chimborazo y la Compañía Ecuatoriana de Cerámica. Existen también fábricas de productos alimenticios, de papel, metálicos e industria gráfica. Dada la vocación agrícola de la pr</w:t>
      </w:r>
      <w:r>
        <w:rPr>
          <w:rFonts w:ascii="Arial" w:hAnsi="Arial" w:cs="Arial"/>
        </w:rPr>
        <w:t xml:space="preserve">ovincia se ha considerado necesario el desarrollo de proyectos agroindustriales, especialmente de frutas, legumbres y la industria conservera.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3"/>
        <w:spacing w:line="480" w:lineRule="auto"/>
        <w:ind w:left="902" w:firstLine="0"/>
        <w:rPr>
          <w:rFonts w:ascii="Arial" w:hAnsi="Arial" w:cs="Arial"/>
        </w:rPr>
      </w:pPr>
      <w:r>
        <w:rPr>
          <w:rFonts w:ascii="Arial" w:hAnsi="Arial" w:cs="Arial"/>
        </w:rPr>
        <w:t>2.1.8    Provincia de Cañar</w:t>
      </w:r>
    </w:p>
    <w:p w:rsidR="00000000" w:rsidRDefault="000E1CA1">
      <w:pPr>
        <w:spacing w:line="480" w:lineRule="auto"/>
        <w:ind w:left="902"/>
        <w:jc w:val="both"/>
        <w:rPr>
          <w:rFonts w:ascii="Arial" w:hAnsi="Arial" w:cs="Arial"/>
        </w:rPr>
      </w:pPr>
      <w:r>
        <w:rPr>
          <w:rFonts w:ascii="Arial" w:hAnsi="Arial" w:cs="Arial"/>
          <w:b/>
          <w:bCs/>
        </w:rPr>
        <w:t>Recursos Naturales :</w:t>
      </w:r>
      <w:r>
        <w:rPr>
          <w:rFonts w:ascii="Arial" w:hAnsi="Arial" w:cs="Arial"/>
        </w:rPr>
        <w:t xml:space="preserve"> Trigo, cebada, maíz, frutales, maderas, etc. </w:t>
      </w:r>
    </w:p>
    <w:p w:rsidR="00000000" w:rsidRDefault="000E1CA1">
      <w:pPr>
        <w:spacing w:line="480" w:lineRule="auto"/>
        <w:ind w:left="902"/>
        <w:jc w:val="both"/>
        <w:rPr>
          <w:rFonts w:ascii="Arial" w:hAnsi="Arial" w:cs="Arial"/>
        </w:rPr>
      </w:pPr>
      <w:r>
        <w:rPr>
          <w:rFonts w:ascii="Arial" w:hAnsi="Arial" w:cs="Arial"/>
          <w:b/>
          <w:bCs/>
        </w:rPr>
        <w:t>Industria :</w:t>
      </w:r>
      <w:r>
        <w:rPr>
          <w:rFonts w:ascii="Arial" w:hAnsi="Arial" w:cs="Arial"/>
        </w:rPr>
        <w:t xml:space="preserve"> Ag</w:t>
      </w:r>
      <w:r>
        <w:rPr>
          <w:rFonts w:ascii="Arial" w:hAnsi="Arial" w:cs="Arial"/>
        </w:rPr>
        <w:t xml:space="preserve">roindustria: cítricos, papas, azúcar, cemento, etc. </w:t>
      </w:r>
    </w:p>
    <w:p w:rsidR="00000000" w:rsidRDefault="000E1CA1">
      <w:pPr>
        <w:spacing w:line="480" w:lineRule="auto"/>
        <w:ind w:left="902"/>
        <w:jc w:val="both"/>
        <w:rPr>
          <w:rFonts w:ascii="Arial" w:hAnsi="Arial" w:cs="Arial"/>
        </w:rPr>
      </w:pPr>
      <w:r>
        <w:rPr>
          <w:rFonts w:ascii="Arial" w:hAnsi="Arial" w:cs="Arial"/>
          <w:b/>
          <w:bCs/>
        </w:rPr>
        <w:t>Turismo :</w:t>
      </w:r>
      <w:r>
        <w:rPr>
          <w:rFonts w:ascii="Arial" w:hAnsi="Arial" w:cs="Arial"/>
        </w:rPr>
        <w:t xml:space="preserve"> Ingapirca, Santuario de la Virgen de la Nube,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rPr>
        <w:t>2.1.8.1   Zonas Agrícolas</w:t>
      </w:r>
      <w:r>
        <w:rPr>
          <w:rFonts w:ascii="Arial" w:hAnsi="Arial" w:cs="Arial"/>
        </w:rPr>
        <w:t xml:space="preserve"> </w:t>
      </w:r>
    </w:p>
    <w:p w:rsidR="00000000" w:rsidRDefault="000E1CA1">
      <w:pPr>
        <w:spacing w:line="480" w:lineRule="auto"/>
        <w:ind w:left="902"/>
        <w:jc w:val="both"/>
        <w:rPr>
          <w:rFonts w:ascii="Arial" w:hAnsi="Arial" w:cs="Arial"/>
        </w:rPr>
      </w:pPr>
      <w:r>
        <w:rPr>
          <w:rFonts w:ascii="Arial" w:hAnsi="Arial" w:cs="Arial"/>
        </w:rPr>
        <w:t xml:space="preserve">La zona de páramos tiene un superficie de 1.406 kms2 que representa el 40% de la superficie agrícola. Esta zona </w:t>
      </w:r>
      <w:r>
        <w:rPr>
          <w:rFonts w:ascii="Arial" w:hAnsi="Arial" w:cs="Arial"/>
        </w:rPr>
        <w:t>se encuentra a una altitud entre 3.000 y 4.000 metros, cubierta de paja y de vegetación típica del páramo. La zona de praderas tiene una superficie de 472 Kilómetros cuadrados que representa un 14% de la superficie total. El cantón Azogues se encuentra sit</w:t>
      </w:r>
      <w:r>
        <w:rPr>
          <w:rFonts w:ascii="Arial" w:hAnsi="Arial" w:cs="Arial"/>
        </w:rPr>
        <w:t>uado dentro de esta zona que es la parte central de la hoya del Paute, con buenos cultivos de trigo, cebada, maíz, papas, arvejas, fréjol, habas, También existen frutales (manzanas en Déleg y San Marcos, capulí, durazno, pera, maribel, naranjilla) y se cul</w:t>
      </w:r>
      <w:r>
        <w:rPr>
          <w:rFonts w:ascii="Arial" w:hAnsi="Arial" w:cs="Arial"/>
        </w:rPr>
        <w:t>tivan hortalizas que se envían de preferencia a los mercados del Guayas.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Existe una zona baja interandina de topografía accidentada que está afectada por una severa erosión debida a la mala utilización del agua de riego y al terreno inclinado que es lav</w:t>
      </w:r>
      <w:r>
        <w:rPr>
          <w:rFonts w:ascii="Arial" w:hAnsi="Arial" w:cs="Arial"/>
        </w:rPr>
        <w:t xml:space="preserve">ado por las lluvias. También se ha producido una progresiva desaparición de los bosques, provocando el fenómeno de la desertificación de ciertas áreas. Entre las maderas que se producen se pueden citar el cedro, el laurel, palo prieto, Ishpingo.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2.1.8.</w:t>
      </w:r>
      <w:r>
        <w:rPr>
          <w:rFonts w:ascii="Arial" w:hAnsi="Arial" w:cs="Arial"/>
          <w:b/>
        </w:rPr>
        <w:t xml:space="preserve">2   Industrias </w:t>
      </w:r>
    </w:p>
    <w:p w:rsidR="00000000" w:rsidRDefault="000E1CA1">
      <w:pPr>
        <w:spacing w:line="480" w:lineRule="auto"/>
        <w:ind w:left="902"/>
        <w:jc w:val="both"/>
        <w:rPr>
          <w:rFonts w:ascii="Arial" w:hAnsi="Arial" w:cs="Arial"/>
        </w:rPr>
      </w:pPr>
      <w:r>
        <w:rPr>
          <w:rFonts w:ascii="Arial" w:hAnsi="Arial" w:cs="Arial"/>
        </w:rPr>
        <w:t>La provincia es apta para el establecimiento de agroindustrias. Entre los proyectos industriales que se han sugerido pueden citarse los siguientes: industrialización de la papa, producción de hongos, industria de cítricos, fabricación de bo</w:t>
      </w:r>
      <w:r>
        <w:rPr>
          <w:rFonts w:ascii="Arial" w:hAnsi="Arial" w:cs="Arial"/>
        </w:rPr>
        <w:t xml:space="preserve">lsas y sacos de cabuya, extractora de papaína. Las industrias establecidas con el ingenio azucarero Aztra, la fábrica de cemento Guapán y productores de aguardiente.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 industria manufacturera es sobre todo de tipo artesanal, destacándose las ramas de </w:t>
      </w:r>
      <w:r>
        <w:rPr>
          <w:rFonts w:ascii="Arial" w:hAnsi="Arial" w:cs="Arial"/>
        </w:rPr>
        <w:t>alimentos, calzado, vestido y muebles de madera. Las industrias Aztra y la de Cemento Guapán son empresas mixtas. La producción del ingenio Aztra supera el millón de quintales anuales. Con la participación de Aztra se inauguró el año de 1987 una nueva plan</w:t>
      </w:r>
      <w:r>
        <w:rPr>
          <w:rFonts w:ascii="Arial" w:hAnsi="Arial" w:cs="Arial"/>
        </w:rPr>
        <w:t xml:space="preserve">ta productora de alcohol a partir de  la melaza (CODADE) cuya capacidad de producción es de 7 millones y medio de litros de alcohol.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rPr>
      </w:pPr>
      <w:r>
        <w:rPr>
          <w:rFonts w:ascii="Arial" w:hAnsi="Arial" w:cs="Arial"/>
          <w:b/>
        </w:rPr>
        <w:t xml:space="preserve">2.1.8.3   Artesanía </w:t>
      </w:r>
    </w:p>
    <w:p w:rsidR="00000000" w:rsidRDefault="000E1CA1">
      <w:pPr>
        <w:spacing w:line="480" w:lineRule="auto"/>
        <w:ind w:left="902"/>
        <w:jc w:val="both"/>
        <w:rPr>
          <w:rFonts w:ascii="Arial" w:hAnsi="Arial" w:cs="Arial"/>
        </w:rPr>
      </w:pPr>
      <w:r>
        <w:rPr>
          <w:rFonts w:ascii="Arial" w:hAnsi="Arial" w:cs="Arial"/>
        </w:rPr>
        <w:t>La artesanía de tejidos y de cerámica podrían desarrollarse si se elabora un plan y se asignan rec</w:t>
      </w:r>
      <w:r>
        <w:rPr>
          <w:rFonts w:ascii="Arial" w:hAnsi="Arial" w:cs="Arial"/>
        </w:rPr>
        <w:t>ursos. Los trabajadores son hábiles, especialmente para la cerámica, pues han funcionado escuelas-talleres en donde se enseña a trabajar la arcilla. En Jatumpamba se confeccionan artículos en cerámica para uso doméstico, pero con procedimientos muy rudimen</w:t>
      </w:r>
      <w:r>
        <w:rPr>
          <w:rFonts w:ascii="Arial" w:hAnsi="Arial" w:cs="Arial"/>
        </w:rPr>
        <w:t xml:space="preserve">tarios. </w:t>
      </w:r>
    </w:p>
    <w:p w:rsidR="00000000" w:rsidRDefault="000E1CA1">
      <w:pPr>
        <w:pStyle w:val="Ttulo2"/>
        <w:ind w:left="902"/>
        <w:rPr>
          <w:rFonts w:ascii="Arial" w:hAnsi="Arial" w:cs="Arial"/>
          <w:color w:val="333333"/>
        </w:rPr>
      </w:pPr>
    </w:p>
    <w:p w:rsidR="00000000" w:rsidRDefault="000E1CA1"/>
    <w:p w:rsidR="00000000" w:rsidRDefault="000E1CA1"/>
    <w:p w:rsidR="00000000" w:rsidRDefault="000E1CA1"/>
    <w:p w:rsidR="00000000" w:rsidRDefault="000E1CA1">
      <w:pPr>
        <w:pStyle w:val="Ttulo2"/>
        <w:spacing w:line="480" w:lineRule="auto"/>
        <w:ind w:left="902"/>
        <w:rPr>
          <w:rFonts w:ascii="Arial" w:hAnsi="Arial" w:cs="Arial"/>
        </w:rPr>
      </w:pPr>
      <w:r>
        <w:rPr>
          <w:rFonts w:ascii="Arial" w:hAnsi="Arial" w:cs="Arial"/>
        </w:rPr>
        <w:t>2.1.9    Provincia de Azuay</w:t>
      </w:r>
    </w:p>
    <w:p w:rsidR="00000000" w:rsidRDefault="000E1CA1">
      <w:pPr>
        <w:spacing w:line="480" w:lineRule="auto"/>
        <w:ind w:left="902"/>
        <w:jc w:val="both"/>
        <w:rPr>
          <w:rFonts w:ascii="Arial" w:hAnsi="Arial" w:cs="Arial"/>
        </w:rPr>
      </w:pPr>
      <w:r>
        <w:rPr>
          <w:rFonts w:ascii="Arial" w:hAnsi="Arial" w:cs="Arial"/>
          <w:b/>
          <w:bCs/>
        </w:rPr>
        <w:t>Recursos Naturales :</w:t>
      </w:r>
      <w:r>
        <w:rPr>
          <w:rFonts w:ascii="Arial" w:hAnsi="Arial" w:cs="Arial"/>
        </w:rPr>
        <w:t xml:space="preserve"> Minería, paja toquilla, etc. </w:t>
      </w:r>
    </w:p>
    <w:p w:rsidR="00000000" w:rsidRDefault="000E1CA1">
      <w:pPr>
        <w:spacing w:line="480" w:lineRule="auto"/>
        <w:ind w:left="902"/>
        <w:jc w:val="both"/>
        <w:rPr>
          <w:rFonts w:ascii="Arial" w:hAnsi="Arial" w:cs="Arial"/>
        </w:rPr>
      </w:pPr>
      <w:r>
        <w:rPr>
          <w:rFonts w:ascii="Arial" w:hAnsi="Arial" w:cs="Arial"/>
          <w:b/>
          <w:bCs/>
        </w:rPr>
        <w:t>Industria :</w:t>
      </w:r>
      <w:r>
        <w:rPr>
          <w:rFonts w:ascii="Arial" w:hAnsi="Arial" w:cs="Arial"/>
        </w:rPr>
        <w:t xml:space="preserve"> Textiles, caucho, artículos de cuero, joyas, etc. </w:t>
      </w:r>
    </w:p>
    <w:p w:rsidR="00000000" w:rsidRDefault="000E1CA1">
      <w:pPr>
        <w:spacing w:line="480" w:lineRule="auto"/>
        <w:ind w:left="902"/>
        <w:jc w:val="both"/>
        <w:rPr>
          <w:rFonts w:ascii="Arial" w:hAnsi="Arial" w:cs="Arial"/>
        </w:rPr>
      </w:pPr>
      <w:r>
        <w:rPr>
          <w:rFonts w:ascii="Arial" w:hAnsi="Arial" w:cs="Arial"/>
          <w:b/>
          <w:bCs/>
        </w:rPr>
        <w:t>Comercio :</w:t>
      </w:r>
      <w:r>
        <w:rPr>
          <w:rFonts w:ascii="Arial" w:hAnsi="Arial" w:cs="Arial"/>
        </w:rPr>
        <w:t xml:space="preserve"> Alimentos, bebidas, cerámica, muebles, etc.</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b/>
          <w:bCs/>
        </w:rPr>
      </w:pPr>
      <w:r>
        <w:rPr>
          <w:rFonts w:ascii="Arial" w:hAnsi="Arial" w:cs="Arial"/>
          <w:b/>
          <w:bCs/>
        </w:rPr>
        <w:t>2.1.9.1   Industria</w:t>
      </w:r>
    </w:p>
    <w:p w:rsidR="00000000" w:rsidRDefault="000E1CA1">
      <w:pPr>
        <w:pStyle w:val="Textoindependiente"/>
        <w:spacing w:line="480" w:lineRule="auto"/>
        <w:ind w:left="902"/>
        <w:rPr>
          <w:rFonts w:ascii="Arial" w:hAnsi="Arial" w:cs="Arial"/>
        </w:rPr>
      </w:pPr>
      <w:r>
        <w:rPr>
          <w:rFonts w:ascii="Arial" w:hAnsi="Arial" w:cs="Arial"/>
        </w:rPr>
        <w:t>Benigno Malo Valdivieso</w:t>
      </w:r>
      <w:r>
        <w:rPr>
          <w:rFonts w:ascii="Arial" w:hAnsi="Arial" w:cs="Arial"/>
        </w:rPr>
        <w:t xml:space="preserve">, jurista y hombre notable morlaco fundó una industria textil en Cuenca a mediados del siglo pasado, convirtiéndose en uno de los pioneros de la industria azuaya. Setenta años después un comerciante italiano, Carlos Tosi, creó una industria de pasamanería </w:t>
      </w:r>
      <w:r>
        <w:rPr>
          <w:rFonts w:ascii="Arial" w:hAnsi="Arial" w:cs="Arial"/>
        </w:rPr>
        <w:t xml:space="preserve">para la fabricación de encajes, reatas, hilos, etc. Luego una teneduría para curtir cueros y la fábrica de muebles Arte Práctico. </w:t>
      </w: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El empuje de la familia Tosi para el desarrollo industrial de Azuay ha sido notable y a él se han unido posteriormente otr</w:t>
      </w:r>
      <w:r>
        <w:rPr>
          <w:rFonts w:ascii="Arial" w:hAnsi="Arial" w:cs="Arial"/>
        </w:rPr>
        <w:t xml:space="preserve">os empresarios que han realizado importantes inversiones industriales en las provincias de Azuay y Cañar. De esta suerte se han creado la fábrica de llantas General, Cerámica Andina, embotelladoras de licores, de papel, fábricas de productos alimenticios, </w:t>
      </w:r>
      <w:r>
        <w:rPr>
          <w:rFonts w:ascii="Arial" w:hAnsi="Arial" w:cs="Arial"/>
        </w:rPr>
        <w:t>industrias de ensamblaje, tapicería, etc.</w:t>
      </w:r>
    </w:p>
    <w:p w:rsidR="00000000" w:rsidRDefault="000E1CA1">
      <w:pPr>
        <w:pStyle w:val="Ttulo3"/>
        <w:spacing w:line="480" w:lineRule="auto"/>
        <w:ind w:left="902" w:firstLine="0"/>
        <w:rPr>
          <w:rFonts w:ascii="Arial" w:hAnsi="Arial" w:cs="Arial"/>
        </w:rPr>
      </w:pPr>
      <w:r>
        <w:rPr>
          <w:rFonts w:ascii="Arial" w:hAnsi="Arial" w:cs="Arial"/>
        </w:rPr>
        <w:t>2.1.9.2   Comercio</w:t>
      </w:r>
    </w:p>
    <w:p w:rsidR="00000000" w:rsidRDefault="000E1CA1">
      <w:pPr>
        <w:spacing w:line="480" w:lineRule="auto"/>
        <w:ind w:left="902"/>
        <w:jc w:val="both"/>
        <w:rPr>
          <w:rFonts w:ascii="Arial" w:hAnsi="Arial" w:cs="Arial"/>
        </w:rPr>
      </w:pPr>
      <w:r>
        <w:rPr>
          <w:rFonts w:ascii="Arial" w:hAnsi="Arial" w:cs="Arial"/>
        </w:rPr>
        <w:t>Numerosas industrias azuayas abastecen el mercado interno y otros producen artículos de exportación. En esta forma se continúa la tradición de la exportación de los sombreros de paja toquilla y d</w:t>
      </w:r>
      <w:r>
        <w:rPr>
          <w:rFonts w:ascii="Arial" w:hAnsi="Arial" w:cs="Arial"/>
        </w:rPr>
        <w:t>e la chichona (planta medicinal de la que se extrae la quinina) que en su época fue un importante renglón de exportación. Entre los artículos de exportación se encuentran muebles, tejidos, cerámica, joyería, neumáticos, artesanías. En el sector bancario Az</w:t>
      </w:r>
      <w:r>
        <w:rPr>
          <w:rFonts w:ascii="Arial" w:hAnsi="Arial" w:cs="Arial"/>
        </w:rPr>
        <w:t>uay cuenta con sucursales de los principales bancos del país y tiene su banco propio, el Banco de Azuay, fundado en 1913 y que, a su vez, tiene sucursales en otras ciudades del país. Azuay cuenta también con compañías financieras y mutualistas de importanc</w:t>
      </w:r>
      <w:r>
        <w:rPr>
          <w:rFonts w:ascii="Arial" w:hAnsi="Arial" w:cs="Arial"/>
        </w:rPr>
        <w:t>ia.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3"/>
        <w:spacing w:line="480" w:lineRule="auto"/>
        <w:ind w:left="902" w:firstLine="0"/>
        <w:rPr>
          <w:rFonts w:ascii="Arial" w:hAnsi="Arial" w:cs="Arial"/>
        </w:rPr>
      </w:pPr>
      <w:r>
        <w:rPr>
          <w:rFonts w:ascii="Arial" w:hAnsi="Arial" w:cs="Arial"/>
        </w:rPr>
        <w:t>2.1.9.3   Agricultura</w:t>
      </w:r>
    </w:p>
    <w:p w:rsidR="00000000" w:rsidRDefault="000E1CA1">
      <w:pPr>
        <w:spacing w:line="480" w:lineRule="auto"/>
        <w:ind w:left="902"/>
        <w:jc w:val="both"/>
        <w:rPr>
          <w:rFonts w:ascii="Arial" w:hAnsi="Arial" w:cs="Arial"/>
        </w:rPr>
      </w:pPr>
      <w:r>
        <w:rPr>
          <w:rFonts w:ascii="Arial" w:hAnsi="Arial" w:cs="Arial"/>
        </w:rPr>
        <w:t>La propiedad agrícola azuaya se encuentra fraccionada y parcelada quizás en exceso. No existe las grandes haciendas con extensiones enormes que se encuentran en otras provincias como Chimborazo. Los agrónomos afirman que los su</w:t>
      </w:r>
      <w:r>
        <w:rPr>
          <w:rFonts w:ascii="Arial" w:hAnsi="Arial" w:cs="Arial"/>
        </w:rPr>
        <w:t>elos azuayos son de la era terciaria, el humus no tiene composición volcánica y ésto afecta a la feracidad. Además, existe el fenómeno de la erosión que no ha logrado detenerse en forma satisfactoria. Sin embargo, la agricultura azuaya ha sido la actividad</w:t>
      </w:r>
      <w:r>
        <w:rPr>
          <w:rFonts w:ascii="Arial" w:hAnsi="Arial" w:cs="Arial"/>
        </w:rPr>
        <w:t xml:space="preserve"> tradicional de la mayoría de la población económicamente activa.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3"/>
        <w:spacing w:line="480" w:lineRule="auto"/>
        <w:ind w:left="902" w:firstLine="0"/>
        <w:rPr>
          <w:rFonts w:ascii="Arial" w:hAnsi="Arial" w:cs="Arial"/>
        </w:rPr>
      </w:pPr>
      <w:r>
        <w:rPr>
          <w:rFonts w:ascii="Arial" w:hAnsi="Arial" w:cs="Arial"/>
        </w:rPr>
        <w:t>2.1.10   Provincia de Loja</w:t>
      </w:r>
    </w:p>
    <w:p w:rsidR="00000000" w:rsidRDefault="000E1CA1">
      <w:pPr>
        <w:spacing w:line="480" w:lineRule="auto"/>
        <w:ind w:left="902"/>
        <w:jc w:val="both"/>
        <w:rPr>
          <w:rFonts w:ascii="Arial" w:hAnsi="Arial" w:cs="Arial"/>
        </w:rPr>
      </w:pPr>
      <w:r>
        <w:rPr>
          <w:rFonts w:ascii="Arial" w:hAnsi="Arial" w:cs="Arial"/>
          <w:b/>
          <w:bCs/>
        </w:rPr>
        <w:t xml:space="preserve">Recursos Naturales : </w:t>
      </w:r>
      <w:r>
        <w:rPr>
          <w:rFonts w:ascii="Arial" w:hAnsi="Arial" w:cs="Arial"/>
        </w:rPr>
        <w:t xml:space="preserve">Maíz, caña de azúcar, maní, oro, cobre, etc. </w:t>
      </w:r>
    </w:p>
    <w:p w:rsidR="00000000" w:rsidRDefault="000E1CA1">
      <w:pPr>
        <w:spacing w:line="480" w:lineRule="auto"/>
        <w:ind w:left="902"/>
        <w:jc w:val="both"/>
        <w:rPr>
          <w:rFonts w:ascii="Arial" w:hAnsi="Arial" w:cs="Arial"/>
        </w:rPr>
      </w:pPr>
      <w:r>
        <w:rPr>
          <w:rFonts w:ascii="Arial" w:hAnsi="Arial" w:cs="Arial"/>
          <w:b/>
          <w:bCs/>
        </w:rPr>
        <w:t>Industria :</w:t>
      </w:r>
      <w:r>
        <w:rPr>
          <w:rFonts w:ascii="Arial" w:hAnsi="Arial" w:cs="Arial"/>
        </w:rPr>
        <w:t xml:space="preserve"> Azúcar, tableros aglomerados, alimentos, bebidas, etc. </w:t>
      </w:r>
    </w:p>
    <w:p w:rsidR="00000000" w:rsidRDefault="000E1CA1">
      <w:pPr>
        <w:spacing w:line="480" w:lineRule="auto"/>
        <w:ind w:left="902"/>
        <w:jc w:val="both"/>
        <w:rPr>
          <w:rFonts w:ascii="Arial" w:hAnsi="Arial" w:cs="Arial"/>
          <w:b/>
          <w:bCs/>
        </w:rPr>
      </w:pPr>
      <w:r>
        <w:rPr>
          <w:rFonts w:ascii="Arial" w:hAnsi="Arial" w:cs="Arial"/>
          <w:b/>
          <w:bCs/>
        </w:rPr>
        <w:t>Turismo :</w:t>
      </w:r>
      <w:r>
        <w:rPr>
          <w:rFonts w:ascii="Arial" w:hAnsi="Arial" w:cs="Arial"/>
        </w:rPr>
        <w:t xml:space="preserve"> Vilcabamba: va</w:t>
      </w:r>
      <w:r>
        <w:rPr>
          <w:rFonts w:ascii="Arial" w:hAnsi="Arial" w:cs="Arial"/>
        </w:rPr>
        <w:t>lle de longevidad, El cisne: romerías</w:t>
      </w:r>
      <w:r>
        <w:rPr>
          <w:rFonts w:ascii="Arial" w:hAnsi="Arial" w:cs="Arial"/>
          <w:b/>
          <w:bCs/>
        </w:rPr>
        <w:t>.</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spacing w:line="480" w:lineRule="auto"/>
        <w:ind w:left="902"/>
        <w:jc w:val="both"/>
        <w:rPr>
          <w:rFonts w:ascii="Arial" w:hAnsi="Arial" w:cs="Arial"/>
          <w:b/>
          <w:bCs/>
        </w:rPr>
      </w:pPr>
      <w:r>
        <w:rPr>
          <w:rFonts w:ascii="Arial" w:hAnsi="Arial" w:cs="Arial"/>
          <w:b/>
          <w:bCs/>
        </w:rPr>
        <w:t>2.1.10.1   Agricultura</w:t>
      </w:r>
    </w:p>
    <w:p w:rsidR="00000000" w:rsidRDefault="000E1CA1">
      <w:pPr>
        <w:pStyle w:val="Textoindependiente"/>
        <w:spacing w:line="480" w:lineRule="auto"/>
        <w:ind w:left="902"/>
        <w:rPr>
          <w:rFonts w:ascii="Arial" w:hAnsi="Arial" w:cs="Arial"/>
        </w:rPr>
      </w:pPr>
      <w:r>
        <w:rPr>
          <w:rFonts w:ascii="Arial" w:hAnsi="Arial" w:cs="Arial"/>
        </w:rPr>
        <w:t>Los principales productos agrícolas que produce la provincia son: maíz duro y suave, fréjol seco, caña de azúcar, maní, arroz y banano. Es pequeña la producción de otros productos. Loja ha oc</w:t>
      </w:r>
      <w:r>
        <w:rPr>
          <w:rFonts w:ascii="Arial" w:hAnsi="Arial" w:cs="Arial"/>
        </w:rPr>
        <w:t xml:space="preserve">upado el primer lugar a nivel nacional en la producción de fréjol seco, lo mismo en la producción de maíz duro (dentro de las provincias serranas). </w:t>
      </w: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En cuanto a la ganadería, los valles lojanos son apropiados para la crianza de ganado vacuno. La poblaci</w:t>
      </w:r>
      <w:r>
        <w:rPr>
          <w:rFonts w:ascii="Arial" w:hAnsi="Arial" w:cs="Arial"/>
        </w:rPr>
        <w:t xml:space="preserve">ón de este ganado es una de las más altas en las provincias de la sierra. </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spacing w:line="480" w:lineRule="auto"/>
        <w:ind w:left="902"/>
        <w:jc w:val="both"/>
        <w:rPr>
          <w:rFonts w:ascii="Arial" w:hAnsi="Arial" w:cs="Arial"/>
          <w:b/>
          <w:bCs/>
        </w:rPr>
      </w:pPr>
      <w:r>
        <w:rPr>
          <w:rFonts w:ascii="Arial" w:hAnsi="Arial" w:cs="Arial"/>
          <w:b/>
          <w:bCs/>
        </w:rPr>
        <w:t>2.1.10.2   Minería</w:t>
      </w:r>
    </w:p>
    <w:p w:rsidR="00000000" w:rsidRDefault="000E1CA1">
      <w:pPr>
        <w:pStyle w:val="Textoindependiente"/>
        <w:spacing w:line="480" w:lineRule="auto"/>
        <w:ind w:left="902"/>
        <w:rPr>
          <w:rFonts w:ascii="Arial" w:hAnsi="Arial" w:cs="Arial"/>
        </w:rPr>
      </w:pPr>
      <w:r>
        <w:rPr>
          <w:rFonts w:ascii="Arial" w:hAnsi="Arial" w:cs="Arial"/>
        </w:rPr>
        <w:t>Estudios preliminares han considerado a Loja como una reserva potencial en recursos mineros. Entre éstos se destacan los siguientes: Carbón, cobre, hierro, már</w:t>
      </w:r>
      <w:r>
        <w:rPr>
          <w:rFonts w:ascii="Arial" w:hAnsi="Arial" w:cs="Arial"/>
        </w:rPr>
        <w:t xml:space="preserve">mol y caolín. Mármol existe en muchas partes de la provincia, lo mismo que piedra caliza. Los yacimientos de caolín sobre todo se encuentran en la zona de La Palmira. </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spacing w:line="480" w:lineRule="auto"/>
        <w:ind w:left="902"/>
        <w:jc w:val="both"/>
        <w:rPr>
          <w:rFonts w:ascii="Arial" w:hAnsi="Arial" w:cs="Arial"/>
          <w:b/>
          <w:bCs/>
        </w:rPr>
      </w:pPr>
      <w:r>
        <w:rPr>
          <w:rFonts w:ascii="Arial" w:hAnsi="Arial" w:cs="Arial"/>
          <w:b/>
          <w:bCs/>
        </w:rPr>
        <w:t>2.1.10.3   Industria</w:t>
      </w:r>
    </w:p>
    <w:p w:rsidR="00000000" w:rsidRDefault="000E1CA1">
      <w:pPr>
        <w:pStyle w:val="Textoindependiente"/>
        <w:spacing w:line="480" w:lineRule="auto"/>
        <w:ind w:left="902"/>
        <w:rPr>
          <w:rFonts w:ascii="Arial" w:hAnsi="Arial" w:cs="Arial"/>
        </w:rPr>
      </w:pPr>
      <w:r>
        <w:rPr>
          <w:rFonts w:ascii="Arial" w:hAnsi="Arial" w:cs="Arial"/>
        </w:rPr>
        <w:t>La actividad industrial de Loja está representada por diferentes</w:t>
      </w:r>
      <w:r>
        <w:rPr>
          <w:rFonts w:ascii="Arial" w:hAnsi="Arial" w:cs="Arial"/>
        </w:rPr>
        <w:t xml:space="preserve"> tipos de industrias, entre las que se destacan las siguientes: Elaboración de azúcar, tableros aglomerados para la construcción (a base de utilización del bagazo de la caña) industria de alimentos y bebidas, artesanías diversas. Sin embargo, el nivel de i</w:t>
      </w:r>
      <w:r>
        <w:rPr>
          <w:rFonts w:ascii="Arial" w:hAnsi="Arial" w:cs="Arial"/>
        </w:rPr>
        <w:t>ndustrialización de Loja es uno de los más bajos del país. El establecimiento Cfrilosa, compañía de economía mixta, dotó a Loja de un excelente camal frigorífico que ha facilitado la industria de jamones, mortadela y embutidos. El establecimiento del ingen</w:t>
      </w:r>
      <w:r>
        <w:rPr>
          <w:rFonts w:ascii="Arial" w:hAnsi="Arial" w:cs="Arial"/>
        </w:rPr>
        <w:t>io azucarero en la hacienda Monterrey también contribuyó a dinamizar la economía de la provincia.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2"/>
        <w:spacing w:line="480" w:lineRule="auto"/>
        <w:ind w:left="357"/>
        <w:rPr>
          <w:rFonts w:ascii="Arial" w:hAnsi="Arial" w:cs="Arial"/>
        </w:rPr>
      </w:pPr>
      <w:r>
        <w:rPr>
          <w:rFonts w:ascii="Arial" w:hAnsi="Arial" w:cs="Arial"/>
        </w:rPr>
        <w:t>2.2   Las 1000 compañías más importantes</w:t>
      </w:r>
    </w:p>
    <w:p w:rsidR="00000000" w:rsidRDefault="000E1CA1">
      <w:pPr>
        <w:spacing w:line="480" w:lineRule="auto"/>
        <w:ind w:left="902"/>
        <w:jc w:val="both"/>
        <w:rPr>
          <w:rFonts w:ascii="Arial" w:hAnsi="Arial" w:cs="Arial"/>
        </w:rPr>
      </w:pPr>
      <w:r>
        <w:rPr>
          <w:rFonts w:ascii="Arial" w:hAnsi="Arial" w:cs="Arial"/>
        </w:rPr>
        <w:t xml:space="preserve">Esta información es respecto al último informe que se presentó a la </w:t>
      </w:r>
      <w:r>
        <w:rPr>
          <w:rFonts w:ascii="Arial" w:hAnsi="Arial" w:cs="Arial"/>
          <w:lang w:val="es-ES_tradnl"/>
        </w:rPr>
        <w:t>Superintendencia de Compañías</w:t>
      </w:r>
      <w:r>
        <w:rPr>
          <w:rFonts w:ascii="Arial" w:hAnsi="Arial" w:cs="Arial"/>
        </w:rPr>
        <w:t>, perteneciente a</w:t>
      </w:r>
      <w:r>
        <w:rPr>
          <w:rFonts w:ascii="Arial" w:hAnsi="Arial" w:cs="Arial"/>
        </w:rPr>
        <w:t>l año de 1</w:t>
      </w:r>
      <w:r>
        <w:rPr>
          <w:rFonts w:ascii="Arial" w:hAnsi="Arial" w:cs="Arial"/>
          <w:lang w:val="es-ES_tradnl"/>
        </w:rPr>
        <w:t>.998, información económica financiera de 23.761 compañías entre anónimas, limitadas, de economía mixta y sucursales de compañías extranjeras.  E</w:t>
      </w:r>
      <w:r>
        <w:rPr>
          <w:rFonts w:ascii="Arial" w:hAnsi="Arial" w:cs="Arial"/>
        </w:rPr>
        <w:t>n el Ecuador, como en cualquier economía moderna, el peso de las compañías más grandes es muy signifi</w:t>
      </w:r>
      <w:r>
        <w:rPr>
          <w:rFonts w:ascii="Arial" w:hAnsi="Arial" w:cs="Arial"/>
        </w:rPr>
        <w:t>cativo.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Estas compañías se encuentran identificadas por actividad económica de acuerdo a la Clasificación Industrial Internacional Uniforme de las Naciones Unidas, versión II y está dada así: Agricultura, Minas y Canteras, Industrias, Electricidad, Cons</w:t>
      </w:r>
      <w:r>
        <w:rPr>
          <w:rFonts w:ascii="Arial" w:hAnsi="Arial" w:cs="Arial"/>
        </w:rPr>
        <w:t>trucción, Comercio, Transporte, Servicios a empresas, Servicios personales.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De las 1000 compañías se utilizó la información de lo que corresponde a la Región de la Sierra que es el 54.1% del total.  La mayor parte de estas compañías se han concentrado b</w:t>
      </w:r>
      <w:r>
        <w:rPr>
          <w:rFonts w:ascii="Arial" w:hAnsi="Arial" w:cs="Arial"/>
        </w:rPr>
        <w:t xml:space="preserve">ásicamente en las provincias de Pichincha (83.36%), Azuay (8.68%) y en menor proporción en Imbabura (2.21%), Tungurahua (2.03%), Cotopaxi (1.47%), Cañar (0.92%), Chimborazo (0.55%), Loja (0.55%), Bolívar (0.18%). </w:t>
      </w:r>
    </w:p>
    <w:p w:rsidR="00000000" w:rsidRDefault="000E1CA1">
      <w:pPr>
        <w:spacing w:line="480" w:lineRule="auto"/>
        <w:ind w:left="902"/>
        <w:jc w:val="both"/>
        <w:rPr>
          <w:rFonts w:ascii="Arial" w:hAnsi="Arial" w:cs="Arial"/>
        </w:rPr>
      </w:pPr>
      <w:r>
        <w:rPr>
          <w:rFonts w:ascii="Arial" w:hAnsi="Arial" w:cs="Arial"/>
        </w:rPr>
        <w:t>Así mismo, se presenta en el gráfico I, la</w:t>
      </w:r>
      <w:r>
        <w:rPr>
          <w:rFonts w:ascii="Arial" w:hAnsi="Arial" w:cs="Arial"/>
        </w:rPr>
        <w:t>s actividades económicas en donde desarrollan sus operaciones son: Industrias (33.27%), Comercio (26.98%), Servicio a Empresas (10.72%), Construcción (7.20%), Agricultura (7.02%), Minas y Cantera (5.17%), Transporte (4.62%), Servicio a personas (2.77%) y E</w:t>
      </w:r>
      <w:r>
        <w:rPr>
          <w:rFonts w:ascii="Arial" w:hAnsi="Arial" w:cs="Arial"/>
        </w:rPr>
        <w:t>lectricidad (2.21%).</w:t>
      </w:r>
    </w:p>
    <w:p w:rsidR="00000000" w:rsidRDefault="000E1CA1">
      <w:pPr>
        <w:spacing w:line="480" w:lineRule="auto"/>
        <w:ind w:left="902"/>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30" type="#_x0000_t202" style="position:absolute;left:0;text-align:left;margin-left:54pt;margin-top:9pt;width:350.35pt;height:346.15pt;z-index:251593216" strokecolor="white">
            <v:textbox style="mso-next-textbox:#_x0000_s1030">
              <w:txbxContent>
                <w:p w:rsidR="00000000" w:rsidRDefault="00266E4B">
                  <w:r>
                    <w:rPr>
                      <w:rFonts w:ascii="Arial" w:hAnsi="Arial" w:cs="Arial"/>
                      <w:noProof/>
                    </w:rPr>
                    <w:drawing>
                      <wp:inline distT="0" distB="0" distL="0" distR="0">
                        <wp:extent cx="4254500" cy="42926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w:r>
      <w:r>
        <w:rPr>
          <w:rFonts w:ascii="Arial" w:hAnsi="Arial" w:cs="Arial"/>
          <w:noProof/>
          <w:sz w:val="20"/>
        </w:rPr>
        <w:pict>
          <v:rect id="_x0000_s1029" style="position:absolute;left:0;text-align:left;margin-left:45pt;margin-top:0;width:369pt;height:414.6pt;z-index:251592192"/>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31" type="#_x0000_t202" style="position:absolute;left:0;text-align:left;margin-left:54pt;margin-top:1.85pt;width:333pt;height:45pt;z-index:251594240" strokecolor="white">
            <v:textbox style="mso-next-textbox:#_x0000_s1031">
              <w:txbxContent>
                <w:p w:rsidR="00000000" w:rsidRDefault="000E1CA1">
                  <w:pPr>
                    <w:jc w:val="both"/>
                    <w:rPr>
                      <w:rFonts w:ascii="Arial" w:hAnsi="Arial" w:cs="Arial"/>
                    </w:rPr>
                  </w:pPr>
                  <w:r>
                    <w:rPr>
                      <w:rFonts w:ascii="Arial" w:hAnsi="Arial" w:cs="Arial"/>
                      <w:b/>
                      <w:bCs/>
                    </w:rPr>
                    <w:t xml:space="preserve">Gráfico I. </w:t>
                  </w:r>
                  <w:r>
                    <w:rPr>
                      <w:rFonts w:ascii="Arial" w:hAnsi="Arial" w:cs="Arial"/>
                    </w:rPr>
                    <w:t>Número de compañías por</w:t>
                  </w:r>
                  <w:r>
                    <w:rPr>
                      <w:rFonts w:ascii="Arial" w:hAnsi="Arial" w:cs="Arial"/>
                    </w:rPr>
                    <w:t xml:space="preserve"> provincia y actividad</w:t>
                  </w:r>
                </w:p>
                <w:p w:rsidR="00000000" w:rsidRDefault="000E1CA1">
                  <w:pPr>
                    <w:jc w:val="both"/>
                    <w:rPr>
                      <w:rFonts w:ascii="Arial" w:hAnsi="Arial" w:cs="Arial"/>
                    </w:rPr>
                  </w:pPr>
                  <w:r>
                    <w:rPr>
                      <w:rFonts w:ascii="Arial" w:hAnsi="Arial" w:cs="Arial"/>
                      <w:b/>
                      <w:bCs/>
                    </w:rPr>
                    <w:t>Fuente:</w:t>
                  </w:r>
                  <w:r>
                    <w:rPr>
                      <w:rFonts w:ascii="Arial" w:hAnsi="Arial" w:cs="Arial"/>
                    </w:rPr>
                    <w:t xml:space="preserve">  Superintendencia de Compañías</w:t>
                  </w:r>
                </w:p>
              </w:txbxContent>
            </v:textbox>
          </v:shape>
        </w:pic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el  Gráfico II, tenemos como información que la Región Sierra tiene un porcentaje de un 64.51%  que contribuye a crear fuentes de trabajo, siendo Pichincha la provincia que tiene mayor número de em</w:t>
      </w:r>
      <w:r>
        <w:rPr>
          <w:rFonts w:ascii="Arial" w:hAnsi="Arial" w:cs="Arial"/>
        </w:rPr>
        <w:t>pleo.  Siendo Azuay e Imbabura las provincias que tienen el porcentaje más alto después de Pichincha.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33" type="#_x0000_t202" style="position:absolute;left:0;text-align:left;margin-left:53.85pt;margin-top:6pt;width:350.4pt;height:340.2pt;z-index:251596288" strokecolor="white">
            <v:textbox style="mso-next-textbox:#_x0000_s1033">
              <w:txbxContent>
                <w:p w:rsidR="00000000" w:rsidRDefault="00266E4B">
                  <w:r>
                    <w:rPr>
                      <w:noProof/>
                    </w:rPr>
                    <w:drawing>
                      <wp:inline distT="0" distB="0" distL="0" distR="0">
                        <wp:extent cx="4254500" cy="42164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w:r>
      <w:r>
        <w:rPr>
          <w:rFonts w:ascii="Arial" w:hAnsi="Arial" w:cs="Arial"/>
          <w:noProof/>
          <w:sz w:val="20"/>
        </w:rPr>
        <w:pict>
          <v:rect id="_x0000_s1032" style="position:absolute;left:0;text-align:left;margin-left:45pt;margin-top:1.8pt;width:369pt;height:394.8pt;z-index:251595264"/>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34" type="#_x0000_t202" style="position:absolute;left:0;text-align:left;margin-left:54pt;margin-top:6.65pt;width:324pt;height:36pt;z-index:251597312" strokecolor="white">
            <v:textbox style="mso-next-textbox:#_x0000_s1034">
              <w:txbxContent>
                <w:p w:rsidR="00000000" w:rsidRDefault="000E1CA1">
                  <w:pPr>
                    <w:jc w:val="both"/>
                    <w:rPr>
                      <w:rFonts w:ascii="Arial" w:hAnsi="Arial" w:cs="Arial"/>
                    </w:rPr>
                  </w:pPr>
                  <w:r>
                    <w:rPr>
                      <w:rFonts w:ascii="Arial" w:hAnsi="Arial" w:cs="Arial"/>
                      <w:b/>
                      <w:bCs/>
                    </w:rPr>
                    <w:t>Gráfico II.</w:t>
                  </w:r>
                  <w:r>
                    <w:rPr>
                      <w:rFonts w:ascii="Arial" w:hAnsi="Arial" w:cs="Arial"/>
                    </w:rPr>
                    <w:t xml:space="preserve"> Empleo por provincia.</w:t>
                  </w:r>
                </w:p>
                <w:p w:rsidR="00000000" w:rsidRDefault="000E1CA1">
                  <w:pPr>
                    <w:jc w:val="both"/>
                    <w:rPr>
                      <w:rFonts w:ascii="Arial" w:hAnsi="Arial" w:cs="Arial"/>
                    </w:rPr>
                  </w:pPr>
                  <w:r>
                    <w:rPr>
                      <w:rFonts w:ascii="Arial" w:hAnsi="Arial" w:cs="Arial"/>
                      <w:b/>
                      <w:bCs/>
                    </w:rPr>
                    <w:t>Fuente:</w:t>
                  </w:r>
                  <w:r>
                    <w:rPr>
                      <w:rFonts w:ascii="Arial" w:hAnsi="Arial" w:cs="Arial"/>
                    </w:rPr>
                    <w:t xml:space="preserve">  Superintendencia de compañías</w:t>
                  </w:r>
                </w:p>
              </w:txbxContent>
            </v:textbox>
          </v:shape>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De igual forma, Pichincha es la provincia que más exportaciones tiene con un total de 3.013.848 millones de sucres, se</w:t>
      </w:r>
      <w:r>
        <w:rPr>
          <w:rFonts w:ascii="Arial" w:hAnsi="Arial" w:cs="Arial"/>
        </w:rPr>
        <w:t>guida de Azuay con el valor de 239.194 millones de sucres.</w:t>
      </w: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r>
        <w:rPr>
          <w:rFonts w:ascii="Arial" w:hAnsi="Arial" w:cs="Arial"/>
          <w:noProof/>
          <w:sz w:val="20"/>
        </w:rPr>
        <w:pict>
          <v:rect id="_x0000_s1035" style="position:absolute;left:0;text-align:left;margin-left:45pt;margin-top:1.8pt;width:378pt;height:335.4pt;z-index:251598336"/>
        </w:pict>
      </w:r>
      <w:r>
        <w:rPr>
          <w:rFonts w:ascii="Arial" w:hAnsi="Arial" w:cs="Arial"/>
          <w:noProof/>
          <w:sz w:val="20"/>
        </w:rPr>
        <w:pict>
          <v:shape id="_x0000_s1036" type="#_x0000_t202" style="position:absolute;left:0;text-align:left;margin-left:54pt;margin-top:6pt;width:366.9pt;height:292.2pt;z-index:251599360" strokecolor="white">
            <v:textbox style="mso-next-textbox:#_x0000_s1036">
              <w:txbxContent>
                <w:p w:rsidR="00000000" w:rsidRDefault="00266E4B">
                  <w:r>
                    <w:rPr>
                      <w:rFonts w:ascii="Arial" w:hAnsi="Arial" w:cs="Arial"/>
                      <w:noProof/>
                    </w:rPr>
                    <w:drawing>
                      <wp:inline distT="0" distB="0" distL="0" distR="0">
                        <wp:extent cx="4470400" cy="36068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w: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r>
        <w:rPr>
          <w:rFonts w:ascii="Arial" w:hAnsi="Arial" w:cs="Arial"/>
          <w:noProof/>
          <w:sz w:val="20"/>
        </w:rPr>
        <w:pict>
          <v:shape id="_x0000_s1037" type="#_x0000_t202" style="position:absolute;left:0;text-align:left;margin-left:63pt;margin-top:2.45pt;width:342pt;height:34.2pt;z-index:251600384" strokecolor="white">
            <v:textbox style="mso-next-textbox:#_x0000_s1037">
              <w:txbxContent>
                <w:p w:rsidR="00000000" w:rsidRDefault="000E1CA1">
                  <w:pPr>
                    <w:jc w:val="both"/>
                    <w:rPr>
                      <w:rFonts w:ascii="Arial" w:hAnsi="Arial" w:cs="Arial"/>
                    </w:rPr>
                  </w:pPr>
                  <w:r>
                    <w:rPr>
                      <w:rFonts w:ascii="Arial" w:hAnsi="Arial"/>
                      <w:b/>
                      <w:bCs/>
                    </w:rPr>
                    <w:t>Gráfico III.</w:t>
                  </w:r>
                  <w:r>
                    <w:rPr>
                      <w:rFonts w:ascii="Arial" w:hAnsi="Arial" w:cs="Arial"/>
                    </w:rPr>
                    <w:t xml:space="preserve">  Exportaciones por provincia y actividad</w:t>
                  </w:r>
                </w:p>
                <w:p w:rsidR="00000000" w:rsidRDefault="000E1CA1">
                  <w:pPr>
                    <w:jc w:val="both"/>
                    <w:rPr>
                      <w:rFonts w:ascii="Arial" w:hAnsi="Arial" w:cs="Arial"/>
                    </w:rPr>
                  </w:pPr>
                  <w:r>
                    <w:rPr>
                      <w:rFonts w:ascii="Arial" w:hAnsi="Arial" w:cs="Arial"/>
                      <w:b/>
                      <w:bCs/>
                    </w:rPr>
                    <w:t>Fuent</w:t>
                  </w:r>
                  <w:r>
                    <w:rPr>
                      <w:rFonts w:ascii="Arial" w:hAnsi="Arial" w:cs="Arial"/>
                      <w:b/>
                      <w:bCs/>
                    </w:rPr>
                    <w:t>e:</w:t>
                  </w:r>
                  <w:r>
                    <w:rPr>
                      <w:rFonts w:ascii="Arial" w:hAnsi="Arial" w:cs="Arial"/>
                    </w:rPr>
                    <w:t xml:space="preserve">   Superintendencia de compañías</w:t>
                  </w:r>
                </w:p>
              </w:txbxContent>
            </v:textbox>
          </v:shape>
        </w:pict>
      </w:r>
    </w:p>
    <w:p w:rsidR="00000000" w:rsidRDefault="000E1CA1">
      <w:pPr>
        <w:ind w:left="194" w:firstLine="708"/>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Según su actividad  Industrias tiene el mayor valor que es 1.675.692 en millones de sucres, y Minas con 1.002.503 millones de sucres.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las importaciones Pichi</w:t>
      </w:r>
      <w:r>
        <w:rPr>
          <w:rFonts w:ascii="Arial" w:hAnsi="Arial" w:cs="Arial"/>
        </w:rPr>
        <w:t>ncha sigue en el primer puesto con un total de 7.392.055 millones de sucres y también sigue Azuay con un valor de 985.162 millones de sucres.</w:t>
      </w: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Según su actividad Industrias tiene mayor importaciones con un valor de 5.061.676 millones de sucres, seguida de </w:t>
      </w:r>
      <w:r>
        <w:rPr>
          <w:rFonts w:ascii="Arial" w:hAnsi="Arial" w:cs="Arial"/>
        </w:rPr>
        <w:t>Comercio con un total de 3.020.812 millones de sucres.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jc w:val="both"/>
        <w:rPr>
          <w:rFonts w:ascii="Arial" w:hAnsi="Arial" w:cs="Arial"/>
        </w:rPr>
      </w:pPr>
      <w:r>
        <w:rPr>
          <w:rFonts w:ascii="Arial" w:hAnsi="Arial" w:cs="Arial"/>
          <w:noProof/>
          <w:sz w:val="20"/>
        </w:rPr>
        <w:pict>
          <v:rect id="_x0000_s1038" style="position:absolute;left:0;text-align:left;margin-left:45pt;margin-top:9pt;width:369pt;height:334.8pt;z-index:251601408"/>
        </w:pict>
      </w:r>
    </w:p>
    <w:p w:rsidR="00000000" w:rsidRDefault="000E1CA1">
      <w:pPr>
        <w:jc w:val="both"/>
        <w:rPr>
          <w:rFonts w:ascii="Arial" w:hAnsi="Arial" w:cs="Arial"/>
        </w:rPr>
      </w:pPr>
      <w:r>
        <w:rPr>
          <w:rFonts w:ascii="Arial" w:hAnsi="Arial" w:cs="Arial"/>
          <w:noProof/>
          <w:sz w:val="20"/>
        </w:rPr>
        <w:pict>
          <v:shape id="_x0000_s1039" type="#_x0000_t202" style="position:absolute;left:0;text-align:left;margin-left:54pt;margin-top:12pt;width:350.4pt;height:274.2pt;z-index:251602432" strokecolor="white">
            <v:textbox style="mso-next-textbox:#_x0000_s1039">
              <w:txbxContent>
                <w:p w:rsidR="00000000" w:rsidRDefault="00266E4B">
                  <w:r>
                    <w:rPr>
                      <w:rFonts w:ascii="Arial" w:hAnsi="Arial" w:cs="Arial"/>
                      <w:noProof/>
                    </w:rPr>
                    <w:drawing>
                      <wp:inline distT="0" distB="0" distL="0" distR="0">
                        <wp:extent cx="4254500" cy="33782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w:r>
      <w:r>
        <w:rPr>
          <w:rFonts w:ascii="Arial" w:hAnsi="Arial" w:cs="Arial"/>
        </w:rPr>
        <w:tab/>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r>
        <w:rPr>
          <w:rFonts w:ascii="Arial" w:hAnsi="Arial" w:cs="Arial"/>
          <w:noProof/>
          <w:sz w:val="20"/>
        </w:rPr>
        <w:pict>
          <v:shape id="_x0000_s1040" type="#_x0000_t202" style="position:absolute;left:0;text-align:left;margin-left:63pt;margin-top:9.05pt;width:324pt;height:39pt;z-index:251603456" strokecolor="white">
            <v:textbox style="mso-next-textbox:#_x0000_s1040">
              <w:txbxContent>
                <w:p w:rsidR="00000000" w:rsidRDefault="000E1CA1">
                  <w:pPr>
                    <w:jc w:val="both"/>
                    <w:rPr>
                      <w:rFonts w:ascii="Arial" w:hAnsi="Arial" w:cs="Arial"/>
                    </w:rPr>
                  </w:pPr>
                  <w:r>
                    <w:rPr>
                      <w:rFonts w:ascii="Arial" w:hAnsi="Arial" w:cs="Arial"/>
                      <w:b/>
                      <w:bCs/>
                    </w:rPr>
                    <w:t>Gráfico IV.</w:t>
                  </w:r>
                  <w:r>
                    <w:rPr>
                      <w:rFonts w:ascii="Arial" w:hAnsi="Arial" w:cs="Arial"/>
                    </w:rPr>
                    <w:t xml:space="preserve">  Importaciones por provincia y actividad</w:t>
                  </w:r>
                </w:p>
                <w:p w:rsidR="00000000" w:rsidRDefault="000E1CA1">
                  <w:pPr>
                    <w:jc w:val="both"/>
                    <w:rPr>
                      <w:rFonts w:ascii="Arial" w:hAnsi="Arial" w:cs="Arial"/>
                    </w:rPr>
                  </w:pPr>
                  <w:r>
                    <w:rPr>
                      <w:rFonts w:ascii="Arial" w:hAnsi="Arial" w:cs="Arial"/>
                      <w:b/>
                      <w:bCs/>
                    </w:rPr>
                    <w:t>Fuente:</w:t>
                  </w:r>
                  <w:r>
                    <w:rPr>
                      <w:rFonts w:ascii="Arial" w:hAnsi="Arial" w:cs="Arial"/>
                    </w:rPr>
                    <w:t xml:space="preserve">  Superintendencia de compañías</w:t>
                  </w:r>
                </w:p>
              </w:txbxContent>
            </v:textbox>
          </v:shape>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relación a las 1000 compañías más importantes del Ecuador se presenta en el gráfico V la  información que en la Región Sierra tiene mayor cantidad de compañías con</w:t>
      </w:r>
      <w:r>
        <w:rPr>
          <w:rFonts w:ascii="Arial" w:hAnsi="Arial" w:cs="Arial"/>
        </w:rPr>
        <w:t xml:space="preserve"> un valor de 541 mientras que en la región Costa tiene 457 y la Región Oriente posee sólo 2 compañías.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42" type="#_x0000_t202" style="position:absolute;left:0;text-align:left;margin-left:54pt;margin-top:9.6pt;width:350.4pt;height:286.2pt;z-index:251605504" strokecolor="white">
            <v:textbox style="mso-next-textbox:#_x0000_s1042">
              <w:txbxContent>
                <w:p w:rsidR="00000000" w:rsidRDefault="00266E4B">
                  <w:r>
                    <w:rPr>
                      <w:rFonts w:ascii="Arial" w:hAnsi="Arial" w:cs="Arial"/>
                      <w:noProof/>
                    </w:rPr>
                    <w:drawing>
                      <wp:inline distT="0" distB="0" distL="0" distR="0">
                        <wp:extent cx="4254500" cy="35306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w:r>
      <w:r>
        <w:rPr>
          <w:rFonts w:ascii="Arial" w:hAnsi="Arial" w:cs="Arial"/>
          <w:noProof/>
          <w:sz w:val="20"/>
        </w:rPr>
        <w:pict>
          <v:rect id="_x0000_s1041" style="position:absolute;left:0;text-align:left;margin-left:45pt;margin-top:2.4pt;width:369pt;height:342pt;z-index:251604480"/>
        </w:pict>
      </w:r>
      <w:r>
        <w:rPr>
          <w:rFonts w:ascii="Arial" w:hAnsi="Arial" w:cs="Arial"/>
        </w:rPr>
        <w:tab/>
      </w:r>
    </w:p>
    <w:p w:rsidR="00000000" w:rsidRDefault="000E1CA1">
      <w:pPr>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43" type="#_x0000_t202" style="position:absolute;left:0;text-align:left;margin-left:54pt;margin-top:7.85pt;width:333pt;height:36pt;z-index:251606528" strokecolor="white">
            <v:textbox style="mso-next-textbox:#_x0000_s1043">
              <w:txbxContent>
                <w:p w:rsidR="00000000" w:rsidRDefault="000E1CA1">
                  <w:pPr>
                    <w:rPr>
                      <w:rFonts w:ascii="Arial" w:hAnsi="Arial" w:cs="Arial"/>
                    </w:rPr>
                  </w:pPr>
                  <w:r>
                    <w:rPr>
                      <w:rFonts w:ascii="Arial" w:hAnsi="Arial" w:cs="Arial"/>
                      <w:b/>
                      <w:bCs/>
                    </w:rPr>
                    <w:t>Gráfico V</w:t>
                  </w:r>
                  <w:r>
                    <w:rPr>
                      <w:rFonts w:ascii="Arial" w:hAnsi="Arial" w:cs="Arial"/>
                    </w:rPr>
                    <w:t>.  Compañías por región</w:t>
                  </w:r>
                </w:p>
                <w:p w:rsidR="00000000" w:rsidRDefault="000E1CA1">
                  <w:pPr>
                    <w:rPr>
                      <w:rFonts w:ascii="Arial" w:hAnsi="Arial" w:cs="Arial"/>
                    </w:rPr>
                  </w:pPr>
                  <w:r>
                    <w:rPr>
                      <w:rFonts w:ascii="Arial" w:hAnsi="Arial" w:cs="Arial"/>
                      <w:b/>
                      <w:bCs/>
                    </w:rPr>
                    <w:t>Fuente:</w:t>
                  </w:r>
                  <w:r>
                    <w:rPr>
                      <w:rFonts w:ascii="Arial" w:hAnsi="Arial" w:cs="Arial"/>
                    </w:rPr>
                    <w:t xml:space="preserve">   Superintendencia de comp</w:t>
                  </w:r>
                  <w:r>
                    <w:rPr>
                      <w:rFonts w:ascii="Arial" w:hAnsi="Arial" w:cs="Arial"/>
                    </w:rPr>
                    <w:t>añías</w:t>
                  </w:r>
                </w:p>
              </w:txbxContent>
            </v:textbox>
          </v:shape>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la Región Sierra se genera más plazas de trabajo con un total de 94.921, en tanto la Región  Costa genera 52.018 y</w:t>
      </w:r>
      <w:r>
        <w:rPr>
          <w:rFonts w:ascii="Arial" w:hAnsi="Arial" w:cs="Arial"/>
        </w:rPr>
        <w:t xml:space="preserve"> en la Región Oriente 208 empleos.  A continuación se presentan en el gráfico VI.</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r>
        <w:rPr>
          <w:rFonts w:ascii="Arial" w:hAnsi="Arial" w:cs="Arial"/>
          <w:noProof/>
          <w:sz w:val="20"/>
        </w:rPr>
        <w:pict>
          <v:shape id="_x0000_s1045" type="#_x0000_t202" style="position:absolute;left:0;text-align:left;margin-left:53.85pt;margin-top:3.6pt;width:350.4pt;height:292.2pt;z-index:251608576" strokecolor="white">
            <v:textbox style="mso-next-textbox:#_x0000_s1045">
              <w:txbxContent>
                <w:p w:rsidR="00000000" w:rsidRDefault="00266E4B">
                  <w:r>
                    <w:rPr>
                      <w:rFonts w:ascii="Arial" w:hAnsi="Arial" w:cs="Arial"/>
                      <w:noProof/>
                    </w:rPr>
                    <w:drawing>
                      <wp:inline distT="0" distB="0" distL="0" distR="0">
                        <wp:extent cx="4254500" cy="36068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r>
        <w:rPr>
          <w:rFonts w:ascii="Arial" w:hAnsi="Arial" w:cs="Arial"/>
          <w:noProof/>
          <w:sz w:val="20"/>
        </w:rPr>
        <w:pict>
          <v:rect id="_x0000_s1044" style="position:absolute;left:0;text-align:left;margin-left:45pt;margin-top:-.6pt;width:369pt;height:346.8pt;z-index:251607552"/>
        </w:pict>
      </w: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shape id="_x0000_s1046" type="#_x0000_t202" style="position:absolute;left:0;text-align:left;margin-left:63pt;margin-top:11.45pt;width:333pt;height:40.8pt;z-index:251609600" strokecolor="white">
            <v:textbox style="mso-next-textbox:#_x0000_s1046">
              <w:txbxContent>
                <w:p w:rsidR="00000000" w:rsidRDefault="000E1CA1">
                  <w:pPr>
                    <w:rPr>
                      <w:rFonts w:ascii="Arial" w:hAnsi="Arial" w:cs="Arial"/>
                    </w:rPr>
                  </w:pPr>
                  <w:r>
                    <w:rPr>
                      <w:rFonts w:ascii="Arial" w:hAnsi="Arial" w:cs="Arial"/>
                      <w:b/>
                      <w:bCs/>
                    </w:rPr>
                    <w:t>Gráfico VI.</w:t>
                  </w:r>
                  <w:r>
                    <w:rPr>
                      <w:rFonts w:ascii="Arial" w:hAnsi="Arial" w:cs="Arial"/>
                    </w:rPr>
                    <w:t xml:space="preserve">  Empleos por región</w:t>
                  </w:r>
                </w:p>
                <w:p w:rsidR="00000000" w:rsidRDefault="000E1CA1">
                  <w:pPr>
                    <w:rPr>
                      <w:rFonts w:ascii="Arial" w:hAnsi="Arial" w:cs="Arial"/>
                    </w:rPr>
                  </w:pPr>
                  <w:r>
                    <w:rPr>
                      <w:rFonts w:ascii="Arial" w:hAnsi="Arial" w:cs="Arial"/>
                      <w:b/>
                      <w:bCs/>
                    </w:rPr>
                    <w:t>Fuente:</w:t>
                  </w:r>
                  <w:r>
                    <w:rPr>
                      <w:rFonts w:ascii="Arial" w:hAnsi="Arial" w:cs="Arial"/>
                    </w:rPr>
                    <w:t xml:space="preserve">   Superintendencia de compañías</w:t>
                  </w:r>
                </w:p>
              </w:txbxContent>
            </v:textbox>
          </v:shape>
        </w:pi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Se presenta en el gráfico VII la información sobre la Región Costa  que tiene mayor cantidad de exportaciones con un total de 10.931.98</w:t>
      </w:r>
      <w:r>
        <w:rPr>
          <w:rFonts w:ascii="Arial" w:hAnsi="Arial" w:cs="Arial"/>
        </w:rPr>
        <w:t>6 millones de sucres, la Región Sierra tiene 3.441.338 millones de sucres y la Región del Oriente que no tiene exportaciones.</w:t>
      </w:r>
    </w:p>
    <w:p w:rsidR="00000000" w:rsidRDefault="000E1CA1">
      <w:pPr>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r>
        <w:rPr>
          <w:rFonts w:ascii="Arial" w:hAnsi="Arial" w:cs="Arial"/>
          <w:noProof/>
          <w:sz w:val="20"/>
        </w:rPr>
        <w:pict>
          <v:shape id="_x0000_s1048" type="#_x0000_t202" style="position:absolute;left:0;text-align:left;margin-left:54pt;margin-top:9pt;width:339.9pt;height:339.45pt;z-index:251611648" strokecolor="white">
            <v:textbox style="mso-next-textbox:#_x0000_s1048">
              <w:txbxContent>
                <w:p w:rsidR="00000000" w:rsidRDefault="00266E4B">
                  <w:r>
                    <w:rPr>
                      <w:rFonts w:ascii="Arial" w:hAnsi="Arial" w:cs="Arial"/>
                      <w:noProof/>
                    </w:rPr>
                    <w:drawing>
                      <wp:inline distT="0" distB="0" distL="0" distR="0">
                        <wp:extent cx="4127500" cy="4216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w:r>
      <w:r>
        <w:rPr>
          <w:rFonts w:ascii="Arial" w:hAnsi="Arial" w:cs="Arial"/>
          <w:noProof/>
          <w:sz w:val="20"/>
        </w:rPr>
        <w:pict>
          <v:rect id="_x0000_s1047" style="position:absolute;left:0;text-align:left;margin-left:45pt;margin-top:0;width:369pt;height:398.4pt;z-index:251610624"/>
        </w:pict>
      </w: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335" w:firstLine="709"/>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r>
        <w:rPr>
          <w:rFonts w:ascii="Arial" w:hAnsi="Arial" w:cs="Arial"/>
          <w:noProof/>
          <w:sz w:val="20"/>
        </w:rPr>
        <w:pict>
          <v:shape id="_x0000_s1049" type="#_x0000_t202" style="position:absolute;left:0;text-align:left;margin-left:54pt;margin-top:8.45pt;width:297pt;height:36pt;z-index:251612672" strokecolor="white">
            <v:textbox style="mso-next-textbox:#_x0000_s1049">
              <w:txbxContent>
                <w:p w:rsidR="00000000" w:rsidRDefault="000E1CA1">
                  <w:pPr>
                    <w:rPr>
                      <w:rFonts w:ascii="Arial" w:hAnsi="Arial" w:cs="Arial"/>
                    </w:rPr>
                  </w:pPr>
                  <w:r>
                    <w:rPr>
                      <w:rFonts w:ascii="Arial" w:hAnsi="Arial" w:cs="Arial"/>
                      <w:b/>
                      <w:bCs/>
                    </w:rPr>
                    <w:t>Gráfico VII</w:t>
                  </w:r>
                  <w:r>
                    <w:rPr>
                      <w:rFonts w:ascii="Arial" w:hAnsi="Arial" w:cs="Arial"/>
                    </w:rPr>
                    <w:t>.  Exportaciones por región</w:t>
                  </w:r>
                </w:p>
                <w:p w:rsidR="00000000" w:rsidRDefault="000E1CA1">
                  <w:pPr>
                    <w:rPr>
                      <w:rFonts w:ascii="Arial" w:hAnsi="Arial" w:cs="Arial"/>
                    </w:rPr>
                  </w:pPr>
                  <w:r>
                    <w:rPr>
                      <w:rFonts w:ascii="Arial" w:hAnsi="Arial" w:cs="Arial"/>
                      <w:b/>
                      <w:bCs/>
                    </w:rPr>
                    <w:t>Fuente:</w:t>
                  </w:r>
                  <w:r>
                    <w:rPr>
                      <w:rFonts w:ascii="Arial" w:hAnsi="Arial" w:cs="Arial"/>
                    </w:rPr>
                    <w:t xml:space="preserve">  Superintendencia de compañías</w:t>
                  </w:r>
                </w:p>
              </w:txbxContent>
            </v:textbox>
          </v:shape>
        </w:pict>
      </w: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 las importaciones la región Sierra  tiene un total de 8.832.852 millones de sucres y la Re</w:t>
      </w:r>
      <w:r>
        <w:rPr>
          <w:rFonts w:ascii="Arial" w:hAnsi="Arial" w:cs="Arial"/>
        </w:rPr>
        <w:t>gión Costa 6.659.937 millones de sucres, podemos observar en el Gráfico VIII.</w:t>
      </w:r>
    </w:p>
    <w:p w:rsidR="00000000" w:rsidRDefault="000E1CA1">
      <w:pPr>
        <w:jc w:val="both"/>
        <w:rPr>
          <w:rFonts w:ascii="Arial" w:hAnsi="Arial" w:cs="Arial"/>
        </w:rPr>
      </w:pPr>
    </w:p>
    <w:p w:rsidR="00000000" w:rsidRDefault="000E1CA1">
      <w:pPr>
        <w:jc w:val="both"/>
        <w:rPr>
          <w:rFonts w:ascii="Arial" w:hAnsi="Arial" w:cs="Arial"/>
        </w:rPr>
      </w:pPr>
      <w:r>
        <w:rPr>
          <w:rFonts w:ascii="Arial" w:hAnsi="Arial" w:cs="Arial"/>
          <w:noProof/>
          <w:sz w:val="20"/>
        </w:rPr>
        <w:pict>
          <v:rect id="_x0000_s1050" style="position:absolute;left:0;text-align:left;margin-left:45pt;margin-top:9.65pt;width:5in;height:404.35pt;z-index:251613696"/>
        </w:pict>
      </w:r>
    </w:p>
    <w:p w:rsidR="00000000" w:rsidRDefault="000E1CA1">
      <w:pPr>
        <w:ind w:left="194" w:firstLine="708"/>
        <w:jc w:val="both"/>
        <w:rPr>
          <w:rFonts w:ascii="Arial" w:hAnsi="Arial" w:cs="Arial"/>
        </w:rPr>
      </w:pPr>
      <w:r>
        <w:rPr>
          <w:rFonts w:ascii="Arial" w:hAnsi="Arial" w:cs="Arial"/>
          <w:noProof/>
          <w:sz w:val="20"/>
        </w:rPr>
        <w:pict>
          <v:shape id="_x0000_s1051" type="#_x0000_t202" style="position:absolute;left:0;text-align:left;margin-left:54pt;margin-top:4.2pt;width:341.4pt;height:346.2pt;z-index:251614720" strokecolor="white">
            <v:textbox style="mso-next-textbox:#_x0000_s1051">
              <w:txbxContent>
                <w:p w:rsidR="00000000" w:rsidRDefault="00266E4B">
                  <w:r>
                    <w:rPr>
                      <w:rFonts w:ascii="Arial" w:hAnsi="Arial" w:cs="Arial"/>
                      <w:noProof/>
                    </w:rPr>
                    <w:drawing>
                      <wp:inline distT="0" distB="0" distL="0" distR="0">
                        <wp:extent cx="4140200" cy="42926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w: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ind w:left="194" w:firstLine="708"/>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jc w:val="both"/>
        <w:rPr>
          <w:rFonts w:ascii="Arial" w:hAnsi="Arial" w:cs="Arial"/>
        </w:rPr>
      </w:pPr>
    </w:p>
    <w:p w:rsidR="00000000" w:rsidRDefault="000E1CA1">
      <w:pPr>
        <w:pStyle w:val="Ttulo1"/>
        <w:spacing w:line="480" w:lineRule="auto"/>
        <w:ind w:left="357"/>
        <w:rPr>
          <w:rFonts w:ascii="Arial" w:hAnsi="Arial" w:cs="Arial"/>
          <w:b/>
          <w:bCs/>
          <w:i w:val="0"/>
          <w:iCs w:val="0"/>
        </w:rPr>
      </w:pPr>
    </w:p>
    <w:p w:rsidR="00000000" w:rsidRDefault="000E1CA1">
      <w:pPr>
        <w:pStyle w:val="Ttulo1"/>
        <w:spacing w:line="480" w:lineRule="auto"/>
        <w:ind w:left="357"/>
        <w:rPr>
          <w:rFonts w:ascii="Arial" w:hAnsi="Arial" w:cs="Arial"/>
          <w:b/>
          <w:bCs/>
          <w:i w:val="0"/>
          <w:iCs w:val="0"/>
        </w:rPr>
      </w:pPr>
    </w:p>
    <w:p w:rsidR="00000000" w:rsidRDefault="000E1CA1"/>
    <w:p w:rsidR="00000000" w:rsidRDefault="000E1CA1"/>
    <w:p w:rsidR="00000000" w:rsidRDefault="000E1CA1"/>
    <w:p w:rsidR="00000000" w:rsidRDefault="000E1CA1"/>
    <w:p w:rsidR="00000000" w:rsidRDefault="000E1CA1"/>
    <w:p w:rsidR="00000000" w:rsidRDefault="000E1CA1">
      <w:r>
        <w:rPr>
          <w:rFonts w:ascii="Arial" w:hAnsi="Arial" w:cs="Arial"/>
          <w:noProof/>
          <w:sz w:val="20"/>
        </w:rPr>
        <w:pict>
          <v:shape id="_x0000_s1052" type="#_x0000_t202" style="position:absolute;margin-left:54pt;margin-top:10.25pt;width:324pt;height:36pt;z-index:251615744" strokecolor="white">
            <v:textbox style="mso-next-textbox:#_x0000_s1052">
              <w:txbxContent>
                <w:p w:rsidR="00000000" w:rsidRDefault="000E1CA1">
                  <w:pPr>
                    <w:rPr>
                      <w:rFonts w:ascii="Arial" w:hAnsi="Arial" w:cs="Arial"/>
                    </w:rPr>
                  </w:pPr>
                  <w:r>
                    <w:rPr>
                      <w:rFonts w:ascii="Arial" w:hAnsi="Arial" w:cs="Arial"/>
                      <w:b/>
                      <w:bCs/>
                    </w:rPr>
                    <w:t>Gráfico</w:t>
                  </w:r>
                  <w:r>
                    <w:rPr>
                      <w:rFonts w:ascii="Arial" w:hAnsi="Arial" w:cs="Arial"/>
                      <w:b/>
                      <w:bCs/>
                    </w:rPr>
                    <w:t xml:space="preserve"> VIII.</w:t>
                  </w:r>
                  <w:r>
                    <w:rPr>
                      <w:rFonts w:ascii="Arial" w:hAnsi="Arial" w:cs="Arial"/>
                    </w:rPr>
                    <w:t xml:space="preserve">  Importaciones por región</w:t>
                  </w:r>
                </w:p>
                <w:p w:rsidR="00000000" w:rsidRDefault="000E1CA1">
                  <w:pPr>
                    <w:rPr>
                      <w:rFonts w:ascii="Arial" w:hAnsi="Arial" w:cs="Arial"/>
                    </w:rPr>
                  </w:pPr>
                  <w:r>
                    <w:rPr>
                      <w:rFonts w:ascii="Arial" w:hAnsi="Arial" w:cs="Arial"/>
                      <w:b/>
                      <w:bCs/>
                    </w:rPr>
                    <w:t>Fuente:</w:t>
                  </w:r>
                  <w:r>
                    <w:rPr>
                      <w:rFonts w:ascii="Arial" w:hAnsi="Arial" w:cs="Arial"/>
                    </w:rPr>
                    <w:t xml:space="preserve">  Superintendencia de compañías</w:t>
                  </w:r>
                </w:p>
              </w:txbxContent>
            </v:textbox>
          </v:shape>
        </w:pict>
      </w:r>
    </w:p>
    <w:p w:rsidR="00000000" w:rsidRDefault="000E1CA1"/>
    <w:p w:rsidR="00000000" w:rsidRDefault="000E1CA1"/>
    <w:p w:rsidR="00000000" w:rsidRDefault="000E1CA1"/>
    <w:p w:rsidR="00000000" w:rsidRDefault="000E1CA1"/>
    <w:p w:rsidR="00000000" w:rsidRDefault="000E1CA1"/>
    <w:p w:rsidR="00000000" w:rsidRDefault="000E1CA1"/>
    <w:p w:rsidR="00000000" w:rsidRDefault="000E1CA1"/>
    <w:p w:rsidR="00000000" w:rsidRDefault="000E1CA1">
      <w:pPr>
        <w:pStyle w:val="Ttulo1"/>
        <w:spacing w:line="480" w:lineRule="auto"/>
        <w:ind w:left="357"/>
        <w:rPr>
          <w:rFonts w:ascii="Arial" w:hAnsi="Arial" w:cs="Arial"/>
          <w:b/>
          <w:bCs/>
          <w:i w:val="0"/>
          <w:iCs w:val="0"/>
        </w:rPr>
      </w:pPr>
      <w:r>
        <w:rPr>
          <w:rFonts w:ascii="Arial" w:hAnsi="Arial" w:cs="Arial"/>
          <w:b/>
          <w:bCs/>
          <w:i w:val="0"/>
          <w:iCs w:val="0"/>
        </w:rPr>
        <w:t>2.3   La  Inversión extranjera</w:t>
      </w:r>
    </w:p>
    <w:p w:rsidR="00000000" w:rsidRDefault="000E1CA1">
      <w:pPr>
        <w:spacing w:line="480" w:lineRule="auto"/>
        <w:ind w:left="902"/>
        <w:jc w:val="both"/>
        <w:rPr>
          <w:rFonts w:ascii="Arial" w:hAnsi="Arial" w:cs="Arial"/>
          <w:lang w:val="es-ES_tradnl"/>
        </w:rPr>
      </w:pPr>
      <w:r>
        <w:rPr>
          <w:rFonts w:ascii="Arial" w:hAnsi="Arial" w:cs="Arial"/>
          <w:lang w:val="es-ES_tradnl"/>
        </w:rPr>
        <w:t>La inversión extranjera es de vital importancia para el crecimiento económico del Ecuador, por cuanto los flujos</w:t>
      </w:r>
      <w:r>
        <w:rPr>
          <w:rFonts w:ascii="Arial" w:hAnsi="Arial" w:cs="Arial"/>
          <w:lang w:val="es-ES_tradnl"/>
        </w:rPr>
        <w:t xml:space="preserve"> financieros externos han permitido ampliar la estructura productiva empresarial, así como promover innovaciones tecnológicas y comerciales de corte internacional.</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 xml:space="preserve">En 1.996, la inversión extranjera global ascendió a 185 mil millones de sucres, producto </w:t>
      </w:r>
      <w:r>
        <w:rPr>
          <w:rFonts w:ascii="Arial" w:hAnsi="Arial" w:cs="Arial"/>
          <w:lang w:val="es-ES_tradnl"/>
        </w:rPr>
        <w:t>del aporte de capital en la constitución de 157 compañías y la expansión de 80 empresas existentes.  Este monto significó el 4.6 por ciento respecto de la inversión societaria global de ese año.</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El monto de esta inversión fue canalizado básicamente a cu</w:t>
      </w:r>
      <w:r>
        <w:rPr>
          <w:rFonts w:ascii="Arial" w:hAnsi="Arial" w:cs="Arial"/>
          <w:lang w:val="es-ES_tradnl"/>
        </w:rPr>
        <w:t>atro actividades: Transporte (34.8%), Industria (23.8%), Comercio (23.7% y Servicio a Empresas (16.3%).</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En 1.997, la inversión extranjera alcanzó el monto de 314.696 millones de sucres, es decir que experimentó una expansión nominal del 70% por ciento c</w:t>
      </w:r>
      <w:r>
        <w:rPr>
          <w:rFonts w:ascii="Arial" w:hAnsi="Arial" w:cs="Arial"/>
          <w:lang w:val="es-ES_tradnl"/>
        </w:rPr>
        <w:t>on relación al año anterior.  Este monto correspondió a la constitución de 211 nuevas sociedades y a la ampliación de 61 compañías existentes.</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No obstante el incremento logrado, la partición de la inversión extranjera de 1.997 representa el 3.8 %  por c</w:t>
      </w:r>
      <w:r>
        <w:rPr>
          <w:rFonts w:ascii="Arial" w:hAnsi="Arial" w:cs="Arial"/>
          <w:lang w:val="es-ES_tradnl"/>
        </w:rPr>
        <w:t>iento de la inversión societaria global, es decir 0.8 puntos porcentuales menos que en 1.998.</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357"/>
        <w:jc w:val="both"/>
        <w:rPr>
          <w:rFonts w:ascii="Arial" w:hAnsi="Arial" w:cs="Arial"/>
          <w:b/>
          <w:lang w:val="es-ES_tradnl"/>
        </w:rPr>
      </w:pPr>
      <w:r>
        <w:rPr>
          <w:rFonts w:ascii="Arial" w:hAnsi="Arial" w:cs="Arial"/>
          <w:b/>
          <w:lang w:val="es-ES_tradnl"/>
        </w:rPr>
        <w:t>2.4   Oferta pública de acciones</w:t>
      </w:r>
    </w:p>
    <w:p w:rsidR="00000000" w:rsidRDefault="000E1CA1">
      <w:pPr>
        <w:spacing w:line="480" w:lineRule="auto"/>
        <w:ind w:left="902"/>
        <w:jc w:val="both"/>
        <w:rPr>
          <w:rFonts w:ascii="Arial" w:hAnsi="Arial" w:cs="Arial"/>
          <w:lang w:val="es-ES_tradnl"/>
        </w:rPr>
      </w:pPr>
      <w:r>
        <w:rPr>
          <w:rFonts w:ascii="Arial" w:hAnsi="Arial" w:cs="Arial"/>
          <w:lang w:val="es-ES_tradnl"/>
        </w:rPr>
        <w:t>La oferta pública de acciones es un importante mecanismo a través del cual las compañías que desean emitir acciones para su ve</w:t>
      </w:r>
      <w:r>
        <w:rPr>
          <w:rFonts w:ascii="Arial" w:hAnsi="Arial" w:cs="Arial"/>
          <w:lang w:val="es-ES_tradnl"/>
        </w:rPr>
        <w:t>nta en el mercado, efectúan su colocación a fin de captar ahorro público y destinarlo al financiamiento de sus actividades productivas.</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La oferta pública de acciones implica necesariamente que la compañía privada nacional desempeñe un papel preponderant</w:t>
      </w:r>
      <w:r>
        <w:rPr>
          <w:rFonts w:ascii="Arial" w:hAnsi="Arial" w:cs="Arial"/>
          <w:lang w:val="es-ES_tradnl"/>
        </w:rPr>
        <w:t xml:space="preserve">e en este proceso, pues es indispensable que las compañías tengan una base financiera sólida, capaz de posibilitar el continuo crecimiento de su capacidad productiva, lo que a su vez está condicionado al volumen de recursos propios y de terceros que pueda </w:t>
      </w:r>
      <w:r>
        <w:rPr>
          <w:rFonts w:ascii="Arial" w:hAnsi="Arial" w:cs="Arial"/>
          <w:lang w:val="es-ES_tradnl"/>
        </w:rPr>
        <w:t>obtener.</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Cabe resaltar la importancia de la existencia de un mercado de acciones, como fuente alternativa de recursos para las compañías por lo que el fortalecimiento del sector privado nacional exige que muchas empresas se transformen de cerradas a abi</w:t>
      </w:r>
      <w:r>
        <w:rPr>
          <w:rFonts w:ascii="Arial" w:hAnsi="Arial" w:cs="Arial"/>
          <w:lang w:val="es-ES_tradnl"/>
        </w:rPr>
        <w:t>ertas.</w:t>
      </w: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 xml:space="preserve">La apertura en sí de una empresa a través de la venta de acciones al público mediante el mecanismo de oferta pública, es voluntaria y restrictiva a las sociedades anónimas; la exigencia única es el “Registro” en la Superintendencia de Compañías, </w:t>
      </w:r>
      <w:r>
        <w:rPr>
          <w:rFonts w:ascii="Arial" w:hAnsi="Arial" w:cs="Arial"/>
          <w:lang w:val="es-ES_tradnl"/>
        </w:rPr>
        <w:t>con el objeto de tomar públicas, accesibles, plenas y correctas todas las informaciones sobre las compañía emisoras y sobre las acciones a ser ofertadas al público. A fin de que posibilite al inversionista a identificar la extensión del riesgo que está asu</w:t>
      </w:r>
      <w:r>
        <w:rPr>
          <w:rFonts w:ascii="Arial" w:hAnsi="Arial" w:cs="Arial"/>
          <w:lang w:val="es-ES_tradnl"/>
        </w:rPr>
        <w:t>miendo al suscribir o comprar los títulos-valores distribuidos públicamente.</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En el Ecuador uno de los principales obstáculos que ha impedido el desarrollo del país y del mercado de valores en particular, ha sido la falta de apertura del capital de las c</w:t>
      </w:r>
      <w:r>
        <w:rPr>
          <w:rFonts w:ascii="Arial" w:hAnsi="Arial" w:cs="Arial"/>
          <w:lang w:val="es-ES_tradnl"/>
        </w:rPr>
        <w:t>ompañías, pues, la mayor parte de las existentes son compañías de estructura familiar y de pequeña magnitud, que no han realizado casi ningún esfuerzo para abrir sus capitales y ampliar su base accionaria.</w:t>
      </w: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La figura de la oferta pública  es prácticamen</w:t>
      </w:r>
      <w:r>
        <w:rPr>
          <w:rFonts w:ascii="Arial" w:hAnsi="Arial" w:cs="Arial"/>
          <w:lang w:val="es-ES_tradnl"/>
        </w:rPr>
        <w:t>te nueva en el Ecuador, pues nació con la expedición de la Ley de Mercado de Valores en mayo 1993.  Desde la vigencia, de este importante instrumento jurídico, la Superintendencia de Compañías, concedió autorizaciones para la oferta pública de acciones.</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En Guayas y Pichincha se ha concentrado casi la totalidad de las emisiones, y en menor proporción se lo distribuye entre Azuay, Los Ríos y Cañar.</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 xml:space="preserve">Es de esperar que en el futuro, la oferta pública de acciones se constituya en el eficiente mecanismo que </w:t>
      </w:r>
      <w:r>
        <w:rPr>
          <w:rFonts w:ascii="Arial" w:hAnsi="Arial" w:cs="Arial"/>
          <w:lang w:val="es-ES_tradnl"/>
        </w:rPr>
        <w:t>democratice el capital y oriente los recursos del ahorro privado hacia los fines productivos.</w: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r>
        <w:rPr>
          <w:rFonts w:ascii="Arial" w:hAnsi="Arial" w:cs="Arial"/>
          <w:lang w:val="es-ES_tradnl"/>
        </w:rPr>
        <w:t xml:space="preserve">       </w:t>
      </w:r>
    </w:p>
    <w:p w:rsidR="00000000" w:rsidRDefault="000E1CA1">
      <w:pPr>
        <w:jc w:val="both"/>
        <w:rPr>
          <w:rFonts w:ascii="Arial" w:hAnsi="Arial" w:cs="Arial"/>
          <w:lang w:val="es-ES_tradn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7"/>
        <w:rPr>
          <w:sz w:val="24"/>
        </w:rPr>
      </w:pPr>
    </w:p>
    <w:p w:rsidR="00000000" w:rsidRDefault="000E1CA1"/>
    <w:p w:rsidR="00000000" w:rsidRDefault="000E1CA1"/>
    <w:p w:rsidR="00000000" w:rsidRDefault="000E1CA1"/>
    <w:p w:rsidR="00000000" w:rsidRDefault="000E1CA1"/>
    <w:p w:rsidR="00000000" w:rsidRDefault="000E1CA1"/>
    <w:p w:rsidR="00000000" w:rsidRDefault="000E1CA1">
      <w:pPr>
        <w:pStyle w:val="Ttulo7"/>
        <w:rPr>
          <w:sz w:val="24"/>
        </w:rPr>
      </w:pPr>
    </w:p>
    <w:p w:rsidR="00000000" w:rsidRDefault="000E1CA1">
      <w:pPr>
        <w:pStyle w:val="Ttulo7"/>
        <w:jc w:val="center"/>
      </w:pPr>
      <w:r>
        <w:t>CAPÍTULO 3</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pStyle w:val="Textoindependiente2"/>
      </w:pPr>
      <w:r>
        <w:t xml:space="preserve">3. Análisis Estadístico Univariado </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rsidP="000E1CA1">
      <w:pPr>
        <w:numPr>
          <w:ilvl w:val="1"/>
          <w:numId w:val="33"/>
        </w:numPr>
        <w:ind w:left="941" w:hanging="584"/>
        <w:jc w:val="both"/>
        <w:rPr>
          <w:rFonts w:ascii="Arial" w:hAnsi="Arial" w:cs="Arial"/>
          <w:b/>
          <w:bCs/>
        </w:rPr>
      </w:pPr>
      <w:r>
        <w:rPr>
          <w:rFonts w:ascii="Arial" w:hAnsi="Arial" w:cs="Arial"/>
          <w:b/>
          <w:bCs/>
        </w:rPr>
        <w:t>Introducción</w:t>
      </w:r>
    </w:p>
    <w:p w:rsidR="00000000" w:rsidRDefault="000E1CA1">
      <w:pPr>
        <w:jc w:val="both"/>
        <w:rPr>
          <w:rFonts w:ascii="Arial" w:hAnsi="Arial" w:cs="Arial"/>
          <w:b/>
          <w:bCs/>
        </w:rPr>
      </w:pPr>
    </w:p>
    <w:p w:rsidR="00000000" w:rsidRDefault="000E1CA1">
      <w:pPr>
        <w:pStyle w:val="Sangra2detindependiente"/>
      </w:pPr>
      <w:r>
        <w:t>Se presentarán los resultados obtenidos en el análisis estadístico de cada</w:t>
      </w:r>
      <w:r>
        <w:t xml:space="preserve">  una de las variables más relevantes incluyendo “variables económicas”, con el objeto de determinar y apreciar de mejor manera el comportamiento y la evolución de las compañías y sus distintas actividades.   Se ha utilizado la información proporcionada po</w:t>
      </w:r>
      <w:r>
        <w:t>r la Superintendencia de Compañías cuyos últimos informes son del año de 1.999.</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357"/>
        <w:jc w:val="both"/>
        <w:rPr>
          <w:rFonts w:ascii="Arial" w:hAnsi="Arial" w:cs="Arial"/>
          <w:b/>
          <w:bCs/>
        </w:rPr>
      </w:pPr>
      <w:r>
        <w:rPr>
          <w:rFonts w:ascii="Arial" w:hAnsi="Arial" w:cs="Arial"/>
          <w:b/>
          <w:bCs/>
        </w:rPr>
        <w:t>3.2   Definiciones básicas</w:t>
      </w:r>
    </w:p>
    <w:p w:rsidR="00000000" w:rsidRDefault="000E1CA1">
      <w:pPr>
        <w:jc w:val="both"/>
        <w:rPr>
          <w:rFonts w:ascii="Arial" w:hAnsi="Arial" w:cs="Arial"/>
        </w:rPr>
      </w:pPr>
    </w:p>
    <w:p w:rsidR="00000000" w:rsidRDefault="000E1CA1">
      <w:pPr>
        <w:pStyle w:val="Sangra2detindependiente"/>
      </w:pPr>
      <w:r>
        <w:t xml:space="preserve">Antes de realizar el análisis de datos se definirán ciertos conceptos fundamentales para la comprensión de los procedimientos que se realicen en </w:t>
      </w:r>
      <w:r>
        <w:t>este capítulo.</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5"/>
        </w:numPr>
        <w:spacing w:line="480" w:lineRule="auto"/>
        <w:jc w:val="both"/>
        <w:rPr>
          <w:rFonts w:ascii="Arial" w:hAnsi="Arial" w:cs="Arial"/>
        </w:rPr>
      </w:pPr>
      <w:r>
        <w:rPr>
          <w:rFonts w:ascii="Arial" w:hAnsi="Arial" w:cs="Arial"/>
          <w:b/>
          <w:bCs/>
        </w:rPr>
        <w:t>Experimento.-</w:t>
      </w:r>
      <w:r>
        <w:rPr>
          <w:rFonts w:ascii="Arial" w:hAnsi="Arial" w:cs="Arial"/>
        </w:rPr>
        <w:t xml:space="preserve"> Es el proceso por medio del cual se obtiene una observación o medición cualquiera.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5"/>
        </w:numPr>
        <w:spacing w:line="480" w:lineRule="auto"/>
        <w:jc w:val="both"/>
        <w:rPr>
          <w:rFonts w:ascii="Arial" w:hAnsi="Arial" w:cs="Arial"/>
        </w:rPr>
      </w:pPr>
      <w:r>
        <w:rPr>
          <w:rFonts w:ascii="Arial" w:hAnsi="Arial" w:cs="Arial"/>
          <w:b/>
          <w:bCs/>
        </w:rPr>
        <w:t xml:space="preserve">Espacio de muestra.-  </w:t>
      </w:r>
      <w:r>
        <w:rPr>
          <w:rFonts w:ascii="Arial" w:hAnsi="Arial" w:cs="Arial"/>
        </w:rPr>
        <w:t xml:space="preserve">Es el conjunto de todos los posibles resultados de un experimento y suele representarse por medio de la letra </w:t>
      </w:r>
      <w:r>
        <w:rPr>
          <w:rFonts w:ascii="Arial" w:hAnsi="Arial" w:cs="Arial"/>
          <w:i/>
          <w:iCs/>
        </w:rPr>
        <w:t>S</w:t>
      </w:r>
      <w:r>
        <w:rPr>
          <w:rFonts w:ascii="Arial" w:hAnsi="Arial" w:cs="Arial"/>
        </w:rPr>
        <w: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5"/>
        </w:numPr>
        <w:spacing w:line="480" w:lineRule="auto"/>
        <w:jc w:val="both"/>
        <w:rPr>
          <w:rFonts w:ascii="Arial" w:hAnsi="Arial" w:cs="Arial"/>
        </w:rPr>
      </w:pPr>
      <w:r>
        <w:rPr>
          <w:rFonts w:ascii="Arial" w:hAnsi="Arial" w:cs="Arial"/>
          <w:b/>
          <w:bCs/>
        </w:rPr>
        <w:t>Po</w:t>
      </w:r>
      <w:r>
        <w:rPr>
          <w:rFonts w:ascii="Arial" w:hAnsi="Arial" w:cs="Arial"/>
          <w:b/>
          <w:bCs/>
        </w:rPr>
        <w:t>blación</w:t>
      </w:r>
      <w:r>
        <w:rPr>
          <w:rFonts w:ascii="Arial" w:hAnsi="Arial" w:cs="Arial"/>
        </w:rPr>
        <w:t>.- Colección finita e infinita de mediciones u observaciones correspondientes a una característica de interés de un determinado grupo de entes.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6"/>
        </w:numPr>
        <w:spacing w:line="480" w:lineRule="auto"/>
        <w:jc w:val="both"/>
        <w:rPr>
          <w:rFonts w:ascii="Arial" w:hAnsi="Arial" w:cs="Arial"/>
        </w:rPr>
      </w:pPr>
      <w:r>
        <w:rPr>
          <w:rFonts w:ascii="Arial" w:hAnsi="Arial" w:cs="Arial"/>
          <w:b/>
          <w:bCs/>
        </w:rPr>
        <w:t>Muestra.-</w:t>
      </w:r>
      <w:r>
        <w:rPr>
          <w:rFonts w:ascii="Arial" w:hAnsi="Arial" w:cs="Arial"/>
        </w:rPr>
        <w:t xml:space="preserve">  Es un subconjunto cualquiera de la población.</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6"/>
        </w:numPr>
        <w:spacing w:line="480" w:lineRule="auto"/>
        <w:jc w:val="both"/>
        <w:rPr>
          <w:rFonts w:ascii="Arial" w:hAnsi="Arial" w:cs="Arial"/>
        </w:rPr>
      </w:pPr>
      <w:r>
        <w:rPr>
          <w:rFonts w:ascii="Arial" w:hAnsi="Arial" w:cs="Arial"/>
          <w:b/>
          <w:bCs/>
        </w:rPr>
        <w:t>Probabilidad.-</w:t>
      </w:r>
      <w:r>
        <w:rPr>
          <w:rFonts w:ascii="Arial" w:hAnsi="Arial" w:cs="Arial"/>
        </w:rPr>
        <w:t xml:space="preserve">  Sea </w:t>
      </w:r>
      <w:r>
        <w:rPr>
          <w:rFonts w:ascii="Arial" w:hAnsi="Arial" w:cs="Arial"/>
          <w:i/>
          <w:iCs/>
        </w:rPr>
        <w:t>P</w:t>
      </w:r>
      <w:r>
        <w:rPr>
          <w:rFonts w:ascii="Arial" w:hAnsi="Arial" w:cs="Arial"/>
        </w:rPr>
        <w:t xml:space="preserve"> una función definid</w:t>
      </w:r>
      <w:r>
        <w:rPr>
          <w:rFonts w:ascii="Arial" w:hAnsi="Arial" w:cs="Arial"/>
        </w:rPr>
        <w:t xml:space="preserve">a sobre un espacio muestral y cuyo codominio es el conjunto de los números reales </w:t>
      </w:r>
      <w:r>
        <w:rPr>
          <w:rFonts w:ascii="Arial" w:hAnsi="Arial" w:cs="Arial"/>
        </w:rPr>
        <w:sym w:font="Symbol" w:char="F0C2"/>
      </w:r>
      <w:r>
        <w:rPr>
          <w:rFonts w:ascii="Arial" w:hAnsi="Arial" w:cs="Arial"/>
        </w:rPr>
        <w:t xml:space="preserve">; se dice que </w:t>
      </w:r>
      <w:r>
        <w:rPr>
          <w:rFonts w:ascii="Arial" w:hAnsi="Arial" w:cs="Arial"/>
          <w:i/>
          <w:iCs/>
        </w:rPr>
        <w:t>P</w:t>
      </w:r>
      <w:r>
        <w:rPr>
          <w:rFonts w:ascii="Arial" w:hAnsi="Arial" w:cs="Arial"/>
        </w:rPr>
        <w:t xml:space="preserve"> es una medida de probabilidad si y solo sí cumple lo siguiente:</w:t>
      </w:r>
    </w:p>
    <w:p w:rsidR="00000000" w:rsidRDefault="000E1CA1">
      <w:pPr>
        <w:jc w:val="both"/>
        <w:rPr>
          <w:rFonts w:ascii="Arial" w:hAnsi="Arial" w:cs="Arial"/>
        </w:rPr>
      </w:pPr>
    </w:p>
    <w:p w:rsidR="00000000" w:rsidRDefault="000E1CA1" w:rsidP="000E1CA1">
      <w:pPr>
        <w:numPr>
          <w:ilvl w:val="1"/>
          <w:numId w:val="16"/>
        </w:numPr>
        <w:spacing w:line="480" w:lineRule="auto"/>
        <w:ind w:left="1434" w:hanging="357"/>
        <w:jc w:val="both"/>
        <w:rPr>
          <w:rFonts w:ascii="Arial" w:hAnsi="Arial" w:cs="Arial"/>
        </w:rPr>
      </w:pPr>
      <w:r>
        <w:rPr>
          <w:rFonts w:ascii="Arial" w:hAnsi="Arial" w:cs="Arial"/>
        </w:rPr>
        <w:t>P(</w:t>
      </w:r>
      <w:r>
        <w:rPr>
          <w:rFonts w:ascii="Arial" w:hAnsi="Arial" w:cs="Arial"/>
          <w:i/>
          <w:iCs/>
        </w:rPr>
        <w:t>S</w:t>
      </w:r>
      <w:r>
        <w:rPr>
          <w:rFonts w:ascii="Arial" w:hAnsi="Arial" w:cs="Arial"/>
        </w:rPr>
        <w:t>)  =  1</w:t>
      </w:r>
    </w:p>
    <w:p w:rsidR="00000000" w:rsidRDefault="000E1CA1" w:rsidP="000E1CA1">
      <w:pPr>
        <w:numPr>
          <w:ilvl w:val="1"/>
          <w:numId w:val="16"/>
        </w:numPr>
        <w:spacing w:line="480" w:lineRule="auto"/>
        <w:jc w:val="both"/>
        <w:rPr>
          <w:rFonts w:ascii="Arial" w:hAnsi="Arial" w:cs="Arial"/>
        </w:rPr>
      </w:pPr>
      <w:r>
        <w:rPr>
          <w:rFonts w:ascii="Arial" w:hAnsi="Arial" w:cs="Arial"/>
        </w:rPr>
        <w:t xml:space="preserve">0  </w:t>
      </w:r>
      <w:r>
        <w:rPr>
          <w:rFonts w:ascii="Arial" w:hAnsi="Arial" w:cs="Arial"/>
        </w:rPr>
        <w:sym w:font="Symbol" w:char="F0A3"/>
      </w:r>
      <w:r>
        <w:rPr>
          <w:rFonts w:ascii="Arial" w:hAnsi="Arial" w:cs="Arial"/>
        </w:rPr>
        <w:t xml:space="preserve">  P(</w:t>
      </w:r>
      <w:r>
        <w:rPr>
          <w:rFonts w:ascii="Arial" w:hAnsi="Arial" w:cs="Arial"/>
          <w:i/>
          <w:iCs/>
        </w:rPr>
        <w:t>E</w:t>
      </w:r>
      <w:r>
        <w:rPr>
          <w:rFonts w:ascii="Arial" w:hAnsi="Arial" w:cs="Arial"/>
        </w:rPr>
        <w:t xml:space="preserve">)  </w:t>
      </w:r>
      <w:r>
        <w:rPr>
          <w:rFonts w:ascii="Arial" w:hAnsi="Arial" w:cs="Arial"/>
        </w:rPr>
        <w:sym w:font="Symbol" w:char="F0A3"/>
      </w:r>
      <w:r>
        <w:rPr>
          <w:rFonts w:ascii="Arial" w:hAnsi="Arial" w:cs="Arial"/>
        </w:rPr>
        <w:t xml:space="preserve">  1, para cualquier subconjunto </w:t>
      </w:r>
      <w:r>
        <w:rPr>
          <w:rFonts w:ascii="Arial" w:hAnsi="Arial" w:cs="Arial"/>
          <w:i/>
          <w:iCs/>
        </w:rPr>
        <w:t>E</w:t>
      </w:r>
      <w:r>
        <w:rPr>
          <w:rFonts w:ascii="Arial" w:hAnsi="Arial" w:cs="Arial"/>
        </w:rPr>
        <w:t xml:space="preserve"> de </w:t>
      </w:r>
      <w:r>
        <w:rPr>
          <w:rFonts w:ascii="Arial" w:hAnsi="Arial" w:cs="Arial"/>
          <w:i/>
          <w:iCs/>
        </w:rPr>
        <w:t>S</w:t>
      </w:r>
    </w:p>
    <w:p w:rsidR="00000000" w:rsidRDefault="000E1CA1" w:rsidP="000E1CA1">
      <w:pPr>
        <w:numPr>
          <w:ilvl w:val="1"/>
          <w:numId w:val="16"/>
        </w:numPr>
        <w:spacing w:line="480" w:lineRule="auto"/>
        <w:jc w:val="both"/>
        <w:rPr>
          <w:rFonts w:ascii="Arial" w:hAnsi="Arial" w:cs="Arial"/>
          <w:lang w:val="en-US"/>
        </w:rPr>
      </w:pPr>
      <w:r>
        <w:rPr>
          <w:rFonts w:ascii="Arial" w:hAnsi="Arial" w:cs="Arial"/>
          <w:lang w:val="en-US"/>
        </w:rPr>
        <w:t>P (E</w:t>
      </w:r>
      <w:r>
        <w:rPr>
          <w:rFonts w:ascii="Arial" w:hAnsi="Arial" w:cs="Arial"/>
          <w:vertAlign w:val="subscript"/>
          <w:lang w:val="en-US"/>
        </w:rPr>
        <w:t xml:space="preserve">i </w:t>
      </w:r>
      <w:r>
        <w:rPr>
          <w:position w:val="-4"/>
        </w:rPr>
        <w:object w:dxaOrig="26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9.75pt" o:ole="">
            <v:imagedata r:id="rId16" o:title=""/>
          </v:shape>
          <o:OLEObject Type="Embed" ProgID="Equation.3" ShapeID="_x0000_i1025" DrawAspect="Content" ObjectID="_1308036901" r:id="rId17"/>
        </w:object>
      </w:r>
      <w:r>
        <w:rPr>
          <w:lang w:val="en-US"/>
        </w:rPr>
        <w:t xml:space="preserve"> </w:t>
      </w:r>
      <w:r>
        <w:rPr>
          <w:rFonts w:ascii="Arial" w:hAnsi="Arial" w:cs="Arial"/>
          <w:lang w:val="en-US"/>
        </w:rPr>
        <w:t>E</w:t>
      </w:r>
      <w:r>
        <w:rPr>
          <w:rFonts w:ascii="Arial" w:hAnsi="Arial" w:cs="Arial"/>
          <w:vertAlign w:val="subscript"/>
          <w:lang w:val="en-US"/>
        </w:rPr>
        <w:t>j</w:t>
      </w:r>
      <w:r>
        <w:rPr>
          <w:rFonts w:ascii="Arial" w:hAnsi="Arial" w:cs="Arial"/>
          <w:lang w:val="en-US"/>
        </w:rPr>
        <w:t>) = P(E</w:t>
      </w:r>
      <w:r>
        <w:rPr>
          <w:rFonts w:ascii="Arial" w:hAnsi="Arial" w:cs="Arial"/>
          <w:vertAlign w:val="subscript"/>
          <w:lang w:val="en-US"/>
        </w:rPr>
        <w:t>i</w:t>
      </w:r>
      <w:r>
        <w:rPr>
          <w:rFonts w:ascii="Arial" w:hAnsi="Arial" w:cs="Arial"/>
          <w:lang w:val="en-US"/>
        </w:rPr>
        <w:t>) + P (E</w:t>
      </w:r>
      <w:r>
        <w:rPr>
          <w:rFonts w:ascii="Arial" w:hAnsi="Arial" w:cs="Arial"/>
          <w:vertAlign w:val="subscript"/>
          <w:lang w:val="en-US"/>
        </w:rPr>
        <w:t>j</w:t>
      </w:r>
      <w:r>
        <w:rPr>
          <w:rFonts w:ascii="Arial" w:hAnsi="Arial" w:cs="Arial"/>
          <w:lang w:val="en-US"/>
        </w:rPr>
        <w:t>);  E</w:t>
      </w:r>
      <w:r>
        <w:rPr>
          <w:rFonts w:ascii="Arial" w:hAnsi="Arial" w:cs="Arial"/>
          <w:vertAlign w:val="subscript"/>
          <w:lang w:val="en-US"/>
        </w:rPr>
        <w:t>i</w:t>
      </w:r>
      <w:r>
        <w:rPr>
          <w:rFonts w:ascii="Arial" w:hAnsi="Arial" w:cs="Arial"/>
          <w:lang w:val="en-US"/>
        </w:rPr>
        <w:t xml:space="preserve"> </w:t>
      </w:r>
      <w:r>
        <w:rPr>
          <w:position w:val="-4"/>
        </w:rPr>
        <w:object w:dxaOrig="260" w:dyaOrig="200">
          <v:shape id="_x0000_i1026" type="#_x0000_t75" style="width:12.75pt;height:9.75pt" o:ole="" filled="t">
            <v:imagedata r:id="rId18" o:title=""/>
          </v:shape>
          <o:OLEObject Type="Embed" ProgID="Equation.3" ShapeID="_x0000_i1026" DrawAspect="Content" ObjectID="_1308036902" r:id="rId19"/>
        </w:object>
      </w:r>
      <w:r>
        <w:rPr>
          <w:rFonts w:ascii="Arial" w:hAnsi="Arial" w:cs="Arial"/>
          <w:lang w:val="en-US"/>
        </w:rPr>
        <w:t xml:space="preserve">  E</w:t>
      </w:r>
      <w:r>
        <w:rPr>
          <w:rFonts w:ascii="Arial" w:hAnsi="Arial" w:cs="Arial"/>
          <w:vertAlign w:val="subscript"/>
          <w:lang w:val="en-US"/>
        </w:rPr>
        <w:t>j</w:t>
      </w:r>
      <w:r>
        <w:rPr>
          <w:rFonts w:ascii="Arial" w:hAnsi="Arial" w:cs="Arial"/>
          <w:lang w:val="en-US"/>
        </w:rPr>
        <w:t xml:space="preserve">  = </w:t>
      </w:r>
      <w:r>
        <w:rPr>
          <w:rFonts w:ascii="Arial" w:hAnsi="Arial" w:cs="Arial"/>
        </w:rPr>
        <w:sym w:font="Symbol" w:char="F0C6"/>
      </w:r>
      <w:r>
        <w:rPr>
          <w:rFonts w:ascii="Arial" w:hAnsi="Arial" w:cs="Arial"/>
          <w:lang w:val="en-US"/>
        </w:rPr>
        <w:t xml:space="preserve"> ,  </w:t>
      </w:r>
      <w:r>
        <w:rPr>
          <w:rFonts w:ascii="Arial" w:hAnsi="Arial" w:cs="Arial"/>
        </w:rPr>
        <w:sym w:font="Symbol" w:char="F022"/>
      </w:r>
      <w:r>
        <w:rPr>
          <w:rFonts w:ascii="Arial" w:hAnsi="Arial" w:cs="Arial"/>
          <w:vertAlign w:val="subscript"/>
          <w:lang w:val="en-US"/>
        </w:rPr>
        <w:t xml:space="preserve"> </w:t>
      </w:r>
      <w:r>
        <w:rPr>
          <w:rFonts w:ascii="Arial" w:hAnsi="Arial" w:cs="Arial"/>
          <w:lang w:val="en-US"/>
        </w:rPr>
        <w:t xml:space="preserve"> i </w:t>
      </w:r>
      <w:r>
        <w:rPr>
          <w:rFonts w:ascii="Arial" w:hAnsi="Arial" w:cs="Arial"/>
        </w:rPr>
        <w:sym w:font="Symbol" w:char="F0B9"/>
      </w:r>
      <w:r>
        <w:rPr>
          <w:rFonts w:ascii="Arial" w:hAnsi="Arial" w:cs="Arial"/>
          <w:lang w:val="en-US"/>
        </w:rPr>
        <w:t xml:space="preserve"> j</w:t>
      </w:r>
    </w:p>
    <w:p w:rsidR="00000000" w:rsidRDefault="000E1CA1" w:rsidP="000E1CA1">
      <w:pPr>
        <w:numPr>
          <w:ilvl w:val="0"/>
          <w:numId w:val="32"/>
        </w:numPr>
        <w:spacing w:line="480" w:lineRule="auto"/>
        <w:jc w:val="both"/>
        <w:rPr>
          <w:rFonts w:ascii="Arial" w:hAnsi="Arial" w:cs="Arial"/>
        </w:rPr>
      </w:pPr>
      <w:r>
        <w:rPr>
          <w:rFonts w:ascii="Arial" w:hAnsi="Arial" w:cs="Arial"/>
          <w:b/>
          <w:bCs/>
        </w:rPr>
        <w:t xml:space="preserve">Variable aleatoria.-  </w:t>
      </w:r>
      <w:r>
        <w:rPr>
          <w:rFonts w:ascii="Arial" w:hAnsi="Arial" w:cs="Arial"/>
        </w:rPr>
        <w:t xml:space="preserve">Se denomina variable aleatoria si </w:t>
      </w:r>
      <w:r>
        <w:rPr>
          <w:rFonts w:ascii="Arial" w:hAnsi="Arial" w:cs="Arial"/>
          <w:i/>
          <w:iCs/>
        </w:rPr>
        <w:t>S</w:t>
      </w:r>
      <w:r>
        <w:rPr>
          <w:rFonts w:ascii="Arial" w:hAnsi="Arial" w:cs="Arial"/>
          <w:b/>
        </w:rPr>
        <w:t xml:space="preserve"> </w:t>
      </w:r>
      <w:r>
        <w:rPr>
          <w:rFonts w:ascii="Arial" w:hAnsi="Arial" w:cs="Arial"/>
          <w:bCs/>
        </w:rPr>
        <w:t xml:space="preserve">es un espacio de muestra con una medida de probabilidad y </w:t>
      </w:r>
      <w:r>
        <w:rPr>
          <w:rFonts w:ascii="Arial" w:hAnsi="Arial" w:cs="Arial"/>
          <w:bCs/>
          <w:i/>
          <w:iCs/>
        </w:rPr>
        <w:t>X</w:t>
      </w:r>
      <w:r>
        <w:rPr>
          <w:rFonts w:ascii="Arial" w:hAnsi="Arial" w:cs="Arial"/>
          <w:bCs/>
        </w:rPr>
        <w:t xml:space="preserve"> es una función con valor real definida con respecto a los elemento</w:t>
      </w:r>
      <w:r>
        <w:rPr>
          <w:rFonts w:ascii="Arial" w:hAnsi="Arial" w:cs="Arial"/>
          <w:bCs/>
        </w:rPr>
        <w:t xml:space="preserve">s de </w:t>
      </w:r>
      <w:r>
        <w:rPr>
          <w:rFonts w:ascii="Arial" w:hAnsi="Arial" w:cs="Arial"/>
          <w:bCs/>
          <w:i/>
          <w:iCs/>
        </w:rPr>
        <w:t>S</w:t>
      </w:r>
      <w:r>
        <w:rPr>
          <w:rFonts w:ascii="Arial" w:hAnsi="Arial" w:cs="Arial"/>
          <w:bCs/>
        </w:rPr>
        <w:t xml:space="preserve"> , se denota de la sigui</w:t>
      </w:r>
      <w:r>
        <w:rPr>
          <w:rFonts w:ascii="Arial" w:hAnsi="Arial" w:cs="Arial"/>
        </w:rPr>
        <w:t xml:space="preserve">ente manera:       </w:t>
      </w:r>
      <w:r>
        <w:rPr>
          <w:rFonts w:ascii="Arial" w:hAnsi="Arial" w:cs="Arial"/>
          <w:i/>
          <w:iCs/>
        </w:rPr>
        <w:t>X</w:t>
      </w:r>
      <w:r>
        <w:rPr>
          <w:rFonts w:ascii="Arial" w:hAnsi="Arial" w:cs="Arial"/>
        </w:rPr>
        <w:t xml:space="preserve"> : </w:t>
      </w:r>
      <w:r>
        <w:rPr>
          <w:rFonts w:ascii="Arial" w:hAnsi="Arial" w:cs="Arial"/>
          <w:i/>
          <w:iCs/>
        </w:rPr>
        <w:t>S</w:t>
      </w:r>
      <w:r>
        <w:rPr>
          <w:rFonts w:ascii="Arial" w:hAnsi="Arial" w:cs="Arial"/>
        </w:rPr>
        <w:t xml:space="preserve"> </w:t>
      </w:r>
      <w:r>
        <w:rPr>
          <w:rFonts w:ascii="Arial" w:hAnsi="Arial" w:cs="Arial"/>
        </w:rPr>
        <w:sym w:font="Symbol" w:char="F0DE"/>
      </w:r>
      <w:r>
        <w:rPr>
          <w:rFonts w:ascii="Arial" w:hAnsi="Arial" w:cs="Arial"/>
        </w:rPr>
        <w:t xml:space="preserve"> </w:t>
      </w:r>
      <w:r>
        <w:rPr>
          <w:rFonts w:ascii="Arial" w:hAnsi="Arial" w:cs="Arial"/>
        </w:rPr>
        <w:sym w:font="Symbol" w:char="F0C2"/>
      </w:r>
      <w:r>
        <w:rPr>
          <w:rFonts w:ascii="Arial" w:hAnsi="Arial" w:cs="Arial"/>
        </w:rPr>
        <w: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32"/>
        </w:numPr>
        <w:spacing w:line="480" w:lineRule="auto"/>
        <w:jc w:val="both"/>
        <w:rPr>
          <w:rFonts w:ascii="Arial" w:hAnsi="Arial" w:cs="Arial"/>
        </w:rPr>
      </w:pPr>
      <w:r>
        <w:rPr>
          <w:rFonts w:ascii="Arial" w:hAnsi="Arial" w:cs="Arial"/>
          <w:b/>
          <w:bCs/>
        </w:rPr>
        <w:t>Parámetro poblacional.-</w:t>
      </w:r>
      <w:r>
        <w:rPr>
          <w:rFonts w:ascii="Arial" w:hAnsi="Arial" w:cs="Arial"/>
        </w:rPr>
        <w:t xml:space="preserve">  Valor o cantidad constante que caracteriza una población en particular y se lo denota mediante </w:t>
      </w:r>
      <w:r>
        <w:rPr>
          <w:rFonts w:ascii="Arial" w:hAnsi="Arial" w:cs="Arial"/>
          <w:i/>
          <w:iCs/>
        </w:rPr>
        <w:sym w:font="Symbol" w:char="F071"/>
      </w:r>
      <w:r>
        <w:rPr>
          <w:rFonts w:ascii="Arial" w:hAnsi="Arial" w:cs="Arial"/>
        </w:rPr>
        <w:t xml:space="preserve"> .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32"/>
        </w:numPr>
        <w:spacing w:line="480" w:lineRule="auto"/>
        <w:jc w:val="both"/>
        <w:rPr>
          <w:rFonts w:ascii="Arial" w:hAnsi="Arial" w:cs="Arial"/>
        </w:rPr>
      </w:pPr>
      <w:r>
        <w:rPr>
          <w:rFonts w:ascii="Arial" w:hAnsi="Arial" w:cs="Arial"/>
          <w:b/>
          <w:bCs/>
        </w:rPr>
        <w:t>Estimadores.-</w:t>
      </w:r>
      <w:r>
        <w:rPr>
          <w:rFonts w:ascii="Arial" w:hAnsi="Arial" w:cs="Arial"/>
        </w:rPr>
        <w:t xml:space="preserve">  Variables aleatorias que representan medias esta</w:t>
      </w:r>
      <w:r>
        <w:rPr>
          <w:rFonts w:ascii="Arial" w:hAnsi="Arial" w:cs="Arial"/>
        </w:rPr>
        <w:t xml:space="preserve">dísticas las cuales especifican como utilizar los datos de la muestra para aproximar un parámetro desconocido de la población y se lo denota como </w:t>
      </w:r>
      <w:r>
        <w:rPr>
          <w:rFonts w:ascii="Arial" w:hAnsi="Arial" w:cs="Arial"/>
          <w:position w:val="-6"/>
        </w:rPr>
        <w:object w:dxaOrig="200" w:dyaOrig="320">
          <v:shape id="_x0000_i1027" type="#_x0000_t75" style="width:9.75pt;height:15.75pt" o:ole="">
            <v:imagedata r:id="rId20" o:title=""/>
          </v:shape>
          <o:OLEObject Type="Embed" ProgID="Equation.3" ShapeID="_x0000_i1027" DrawAspect="Content" ObjectID="_1308036903" r:id="rId21"/>
        </w:object>
      </w:r>
      <w:r>
        <w:rPr>
          <w:rFonts w:ascii="Arial" w:hAnsi="Arial" w:cs="Arial"/>
        </w:rPr>
        <w:t xml:space="preserve">  ; en general </w:t>
      </w:r>
      <w:r>
        <w:rPr>
          <w:rFonts w:ascii="Arial" w:hAnsi="Arial" w:cs="Arial"/>
          <w:position w:val="-6"/>
        </w:rPr>
        <w:object w:dxaOrig="200" w:dyaOrig="320">
          <v:shape id="_x0000_i1028" type="#_x0000_t75" style="width:9.75pt;height:15.75pt" o:ole="">
            <v:imagedata r:id="rId20" o:title=""/>
          </v:shape>
          <o:OLEObject Type="Embed" ProgID="Equation.3" ShapeID="_x0000_i1028" DrawAspect="Content" ObjectID="_1308036904" r:id="rId22"/>
        </w:object>
      </w:r>
      <w:r>
        <w:rPr>
          <w:rFonts w:ascii="Arial" w:hAnsi="Arial" w:cs="Arial"/>
        </w:rPr>
        <w:t xml:space="preserve"> es una función tal que: </w:t>
      </w:r>
    </w:p>
    <w:p w:rsidR="00000000" w:rsidRDefault="000E1CA1">
      <w:pPr>
        <w:spacing w:line="480" w:lineRule="auto"/>
        <w:ind w:left="902"/>
        <w:jc w:val="both"/>
        <w:rPr>
          <w:rFonts w:ascii="Arial" w:hAnsi="Arial" w:cs="Arial"/>
        </w:rPr>
      </w:pPr>
      <w:r>
        <w:rPr>
          <w:rFonts w:ascii="Arial" w:hAnsi="Arial" w:cs="Arial"/>
          <w:position w:val="-6"/>
        </w:rPr>
        <w:object w:dxaOrig="200" w:dyaOrig="320">
          <v:shape id="_x0000_i1029" type="#_x0000_t75" style="width:9.75pt;height:15.75pt" o:ole="">
            <v:imagedata r:id="rId20" o:title=""/>
          </v:shape>
          <o:OLEObject Type="Embed" ProgID="Equation.3" ShapeID="_x0000_i1029" DrawAspect="Content" ObjectID="_1308036905" r:id="rId23"/>
        </w:object>
      </w:r>
      <w:r>
        <w:rPr>
          <w:rFonts w:ascii="Arial" w:hAnsi="Arial" w:cs="Arial"/>
        </w:rPr>
        <w:t xml:space="preserve"> : </w:t>
      </w:r>
      <w:r>
        <w:rPr>
          <w:rFonts w:ascii="Arial" w:hAnsi="Arial" w:cs="Arial"/>
        </w:rPr>
        <w:sym w:font="Symbol" w:char="F0C2"/>
      </w:r>
      <w:r>
        <w:rPr>
          <w:rFonts w:ascii="Arial" w:hAnsi="Arial" w:cs="Arial"/>
        </w:rPr>
        <w:t xml:space="preserve">  </w:t>
      </w:r>
      <w:r>
        <w:rPr>
          <w:rFonts w:ascii="Arial" w:hAnsi="Arial" w:cs="Arial"/>
        </w:rPr>
        <w:sym w:font="Symbol" w:char="F0DE"/>
      </w:r>
      <w:r>
        <w:rPr>
          <w:rFonts w:ascii="Arial" w:hAnsi="Arial" w:cs="Arial"/>
        </w:rPr>
        <w:t xml:space="preserve"> </w:t>
      </w:r>
      <w:r>
        <w:rPr>
          <w:rFonts w:ascii="Arial" w:hAnsi="Arial" w:cs="Arial"/>
        </w:rPr>
        <w:sym w:font="Symbol" w:char="F0C2"/>
      </w:r>
      <w:r>
        <w:rPr>
          <w:rFonts w:ascii="Arial" w:hAnsi="Arial" w:cs="Arial"/>
        </w:rPr>
        <w:t xml:space="preserve"> ;donde </w:t>
      </w:r>
      <w:r>
        <w:rPr>
          <w:rFonts w:ascii="Arial" w:hAnsi="Arial" w:cs="Arial"/>
        </w:rPr>
        <w:sym w:font="Symbol" w:char="F0C2"/>
      </w:r>
      <w:r>
        <w:rPr>
          <w:rFonts w:ascii="Arial" w:hAnsi="Arial" w:cs="Arial"/>
        </w:rPr>
        <w:t xml:space="preserve"> es el conjunto de los números reales.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7"/>
        </w:numPr>
        <w:spacing w:line="480" w:lineRule="auto"/>
        <w:jc w:val="both"/>
        <w:rPr>
          <w:rFonts w:ascii="Arial" w:hAnsi="Arial" w:cs="Arial"/>
        </w:rPr>
      </w:pPr>
      <w:r>
        <w:rPr>
          <w:rFonts w:ascii="Arial" w:hAnsi="Arial" w:cs="Arial"/>
          <w:b/>
          <w:bCs/>
        </w:rPr>
        <w:t>Variables aleatoria discreta.-</w:t>
      </w:r>
      <w:r>
        <w:rPr>
          <w:rFonts w:ascii="Arial" w:hAnsi="Arial" w:cs="Arial"/>
        </w:rPr>
        <w:t xml:space="preserve">  Se dice que una variables aleatoria X es discreta si y sólo si el conjunto de valores que toma es finito o infinito contable.</w:t>
      </w:r>
    </w:p>
    <w:p w:rsidR="00000000" w:rsidRDefault="000E1CA1">
      <w:pPr>
        <w:pStyle w:val="Sangra2detindependiente"/>
      </w:pPr>
      <w:r>
        <w:t>En este caso la función o distribución</w:t>
      </w:r>
      <w:r>
        <w:t xml:space="preserve"> de probabilidad de X se denota por </w:t>
      </w:r>
      <w:r>
        <w:sym w:font="Symbol" w:char="F0A6"/>
      </w:r>
      <w:r>
        <w:t>(x) = P (X= x), tal que:</w:t>
      </w:r>
    </w:p>
    <w:p w:rsidR="00000000" w:rsidRDefault="000E1CA1">
      <w:pPr>
        <w:pStyle w:val="Sangra2detindependiente"/>
      </w:pPr>
    </w:p>
    <w:p w:rsidR="00000000" w:rsidRDefault="000E1CA1" w:rsidP="000E1CA1">
      <w:pPr>
        <w:numPr>
          <w:ilvl w:val="0"/>
          <w:numId w:val="2"/>
        </w:numPr>
        <w:spacing w:line="480" w:lineRule="auto"/>
        <w:ind w:left="1434" w:hanging="357"/>
        <w:jc w:val="both"/>
        <w:rPr>
          <w:rFonts w:ascii="Arial" w:hAnsi="Arial" w:cs="Arial"/>
        </w:rPr>
      </w:pPr>
      <w:r>
        <w:rPr>
          <w:rFonts w:ascii="Arial" w:hAnsi="Arial" w:cs="Arial"/>
        </w:rPr>
        <w:t xml:space="preserve">0  </w:t>
      </w:r>
      <w:r>
        <w:rPr>
          <w:rFonts w:ascii="Arial" w:hAnsi="Arial" w:cs="Arial"/>
        </w:rPr>
        <w:sym w:font="Symbol" w:char="F0A3"/>
      </w:r>
      <w:r>
        <w:rPr>
          <w:rFonts w:ascii="Arial" w:hAnsi="Arial" w:cs="Arial"/>
        </w:rPr>
        <w:t xml:space="preserve"> </w:t>
      </w:r>
      <w:r>
        <w:rPr>
          <w:rFonts w:ascii="Arial" w:hAnsi="Arial" w:cs="Arial"/>
        </w:rPr>
        <w:sym w:font="Symbol" w:char="F0A6"/>
      </w:r>
      <w:r>
        <w:rPr>
          <w:rFonts w:ascii="Arial" w:hAnsi="Arial" w:cs="Arial"/>
        </w:rPr>
        <w:t xml:space="preserve">(x) </w:t>
      </w:r>
      <w:r>
        <w:rPr>
          <w:rFonts w:ascii="Arial" w:hAnsi="Arial" w:cs="Arial"/>
        </w:rPr>
        <w:sym w:font="Symbol" w:char="F0A3"/>
      </w:r>
      <w:r>
        <w:rPr>
          <w:rFonts w:ascii="Arial" w:hAnsi="Arial" w:cs="Arial"/>
        </w:rPr>
        <w:t xml:space="preserve">  1</w:t>
      </w:r>
    </w:p>
    <w:p w:rsidR="00000000" w:rsidRDefault="000E1CA1" w:rsidP="000E1CA1">
      <w:pPr>
        <w:numPr>
          <w:ilvl w:val="0"/>
          <w:numId w:val="2"/>
        </w:numPr>
        <w:spacing w:line="480" w:lineRule="auto"/>
        <w:ind w:left="1434" w:hanging="357"/>
        <w:jc w:val="both"/>
        <w:rPr>
          <w:rFonts w:ascii="Arial" w:hAnsi="Arial" w:cs="Arial"/>
        </w:rPr>
      </w:pPr>
      <w:r>
        <w:rPr>
          <w:rFonts w:ascii="Arial" w:hAnsi="Arial" w:cs="Arial"/>
          <w:position w:val="-28"/>
        </w:rPr>
        <w:object w:dxaOrig="820" w:dyaOrig="540">
          <v:shape id="_x0000_i1030" type="#_x0000_t75" style="width:41.25pt;height:27pt" o:ole="">
            <v:imagedata r:id="rId24" o:title=""/>
          </v:shape>
          <o:OLEObject Type="Embed" ProgID="Equation.3" ShapeID="_x0000_i1030" DrawAspect="Content" ObjectID="_1308036906" r:id="rId25"/>
        </w:object>
      </w:r>
      <w:r>
        <w:rPr>
          <w:rFonts w:ascii="Arial" w:hAnsi="Arial" w:cs="Arial"/>
        </w:rPr>
        <w:t xml:space="preserve">  = 1</w:t>
      </w:r>
    </w:p>
    <w:p w:rsidR="00000000" w:rsidRDefault="000E1CA1">
      <w:pPr>
        <w:jc w:val="both"/>
        <w:rPr>
          <w:rFonts w:ascii="Arial" w:hAnsi="Arial" w:cs="Arial"/>
        </w:rPr>
      </w:pPr>
    </w:p>
    <w:p w:rsidR="00000000" w:rsidRDefault="000E1CA1">
      <w:pPr>
        <w:pStyle w:val="Sangra2detindependiente"/>
      </w:pPr>
      <w:r>
        <w:t>La función de distribución acumulada o función de distribución de una variable aleatoria  X discreta, se define como:</w:t>
      </w:r>
    </w:p>
    <w:p w:rsidR="00000000" w:rsidRDefault="000E1CA1">
      <w:pPr>
        <w:spacing w:line="480" w:lineRule="auto"/>
        <w:ind w:left="902"/>
        <w:jc w:val="both"/>
        <w:rPr>
          <w:rFonts w:ascii="Arial" w:hAnsi="Arial" w:cs="Arial"/>
        </w:rPr>
      </w:pPr>
      <w:r>
        <w:rPr>
          <w:rFonts w:ascii="Arial" w:hAnsi="Arial" w:cs="Arial"/>
        </w:rPr>
        <w:t xml:space="preserve">F (x) =  P( X </w:t>
      </w:r>
      <w:r>
        <w:rPr>
          <w:rFonts w:ascii="Arial" w:hAnsi="Arial" w:cs="Arial"/>
          <w:lang w:val="en-US"/>
        </w:rPr>
        <w:sym w:font="Symbol" w:char="F0A3"/>
      </w:r>
      <w:r>
        <w:rPr>
          <w:rFonts w:ascii="Arial" w:hAnsi="Arial" w:cs="Arial"/>
        </w:rPr>
        <w:t xml:space="preserve"> x ) = </w:t>
      </w:r>
      <w:r>
        <w:rPr>
          <w:rFonts w:ascii="Arial" w:hAnsi="Arial" w:cs="Arial"/>
          <w:position w:val="-28"/>
        </w:rPr>
        <w:object w:dxaOrig="780" w:dyaOrig="540">
          <v:shape id="_x0000_i1031" type="#_x0000_t75" style="width:50.25pt;height:26.25pt" o:ole="">
            <v:imagedata r:id="rId26" o:title=""/>
          </v:shape>
          <o:OLEObject Type="Embed" ProgID="Equation.3" ShapeID="_x0000_i1031" DrawAspect="Content" ObjectID="_1308036907" r:id="rId27"/>
        </w:object>
      </w:r>
      <w:r>
        <w:rPr>
          <w:rFonts w:ascii="Arial" w:hAnsi="Arial" w:cs="Arial"/>
        </w:rPr>
        <w:t xml:space="preserve">     para  -</w:t>
      </w:r>
      <w:r>
        <w:rPr>
          <w:rFonts w:ascii="Arial" w:hAnsi="Arial" w:cs="Arial"/>
        </w:rPr>
        <w:sym w:font="Symbol" w:char="F0A5"/>
      </w:r>
      <w:r>
        <w:rPr>
          <w:rFonts w:ascii="Arial" w:hAnsi="Arial" w:cs="Arial"/>
        </w:rPr>
        <w:t xml:space="preserve"> </w:t>
      </w:r>
      <w:r>
        <w:rPr>
          <w:rFonts w:ascii="Arial" w:hAnsi="Arial" w:cs="Arial"/>
        </w:rPr>
        <w:sym w:font="Symbol" w:char="F03C"/>
      </w:r>
      <w:r>
        <w:rPr>
          <w:rFonts w:ascii="Arial" w:hAnsi="Arial" w:cs="Arial"/>
        </w:rPr>
        <w:t xml:space="preserve"> x </w:t>
      </w:r>
      <w:r>
        <w:rPr>
          <w:rFonts w:ascii="Arial" w:hAnsi="Arial" w:cs="Arial"/>
        </w:rPr>
        <w:sym w:font="Symbol" w:char="F03C"/>
      </w:r>
      <w:r>
        <w:rPr>
          <w:rFonts w:ascii="Arial" w:hAnsi="Arial" w:cs="Arial"/>
        </w:rPr>
        <w:t xml:space="preserve"> </w:t>
      </w:r>
      <w:r>
        <w:rPr>
          <w:rFonts w:ascii="Arial" w:hAnsi="Arial" w:cs="Arial"/>
        </w:rPr>
        <w:sym w:font="Symbol" w:char="F0A5"/>
      </w:r>
    </w:p>
    <w:p w:rsidR="00000000" w:rsidRDefault="000E1CA1">
      <w:pPr>
        <w:spacing w:line="480" w:lineRule="auto"/>
        <w:ind w:left="902"/>
        <w:jc w:val="both"/>
        <w:rPr>
          <w:rFonts w:ascii="Arial" w:hAnsi="Arial" w:cs="Arial"/>
        </w:rPr>
      </w:pPr>
      <w:r>
        <w:rPr>
          <w:rFonts w:ascii="Arial" w:hAnsi="Arial" w:cs="Arial"/>
        </w:rPr>
        <w:t xml:space="preserve">donde </w:t>
      </w:r>
      <w:r>
        <w:rPr>
          <w:rFonts w:ascii="Arial" w:hAnsi="Arial" w:cs="Arial"/>
          <w:i/>
          <w:iCs/>
        </w:rPr>
        <w:t xml:space="preserve"> </w:t>
      </w:r>
      <w:r>
        <w:rPr>
          <w:position w:val="-10"/>
        </w:rPr>
        <w:object w:dxaOrig="480" w:dyaOrig="320">
          <v:shape id="_x0000_i1032" type="#_x0000_t75" style="width:24pt;height:15.75pt" o:ole="">
            <v:imagedata r:id="rId28" o:title=""/>
          </v:shape>
          <o:OLEObject Type="Embed" ProgID="Equation.3" ShapeID="_x0000_i1032" DrawAspect="Content" ObjectID="_1308036908" r:id="rId29"/>
        </w:object>
      </w:r>
      <w:r>
        <w:rPr>
          <w:rFonts w:ascii="Arial" w:hAnsi="Arial" w:cs="Arial"/>
          <w:i/>
          <w:iCs/>
        </w:rPr>
        <w:t xml:space="preserve">  </w:t>
      </w:r>
      <w:r>
        <w:rPr>
          <w:rFonts w:ascii="Arial" w:hAnsi="Arial" w:cs="Arial"/>
        </w:rPr>
        <w:t>es el valor de la función de probabilidad de X en 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7"/>
        </w:numPr>
        <w:spacing w:line="480" w:lineRule="auto"/>
        <w:jc w:val="both"/>
        <w:rPr>
          <w:rFonts w:ascii="Arial" w:hAnsi="Arial" w:cs="Arial"/>
        </w:rPr>
      </w:pPr>
      <w:r>
        <w:rPr>
          <w:rFonts w:ascii="Arial" w:hAnsi="Arial" w:cs="Arial"/>
          <w:b/>
        </w:rPr>
        <w:t>Variable aleatoria continua.-</w:t>
      </w:r>
      <w:r>
        <w:rPr>
          <w:rFonts w:ascii="Arial" w:hAnsi="Arial" w:cs="Arial"/>
        </w:rPr>
        <w:t xml:space="preserve">  Una variable aleatoria  X es continua si y sólo si el conjunto de valores que toma es un intervalo de</w:t>
      </w:r>
      <w:r>
        <w:rPr>
          <w:rFonts w:ascii="Arial" w:hAnsi="Arial" w:cs="Arial"/>
        </w:rPr>
        <w:t xml:space="preserve"> números reales o unión de varios de ellos.</w:t>
      </w:r>
    </w:p>
    <w:p w:rsidR="00000000" w:rsidRDefault="000E1CA1">
      <w:pPr>
        <w:spacing w:line="480" w:lineRule="auto"/>
        <w:ind w:left="902"/>
        <w:jc w:val="both"/>
        <w:rPr>
          <w:rFonts w:ascii="Arial" w:hAnsi="Arial" w:cs="Arial"/>
        </w:rPr>
      </w:pPr>
      <w:r>
        <w:rPr>
          <w:rFonts w:ascii="Arial" w:hAnsi="Arial" w:cs="Arial"/>
        </w:rPr>
        <w:t xml:space="preserve">Con toda variable aleatoria continua se encuentra asociada una función </w:t>
      </w:r>
      <w:r>
        <w:rPr>
          <w:rFonts w:ascii="Arial" w:hAnsi="Arial" w:cs="Arial"/>
        </w:rPr>
        <w:sym w:font="Symbol" w:char="F0A6"/>
      </w:r>
      <w:r>
        <w:rPr>
          <w:rFonts w:ascii="Arial" w:hAnsi="Arial" w:cs="Arial"/>
        </w:rPr>
        <w:t>(x) de valor real que cumple:</w:t>
      </w:r>
    </w:p>
    <w:p w:rsidR="00000000" w:rsidRDefault="000E1CA1">
      <w:pPr>
        <w:spacing w:line="480" w:lineRule="auto"/>
        <w:ind w:left="902"/>
        <w:jc w:val="both"/>
        <w:rPr>
          <w:rFonts w:ascii="Arial" w:hAnsi="Arial" w:cs="Arial"/>
        </w:rPr>
      </w:pPr>
    </w:p>
    <w:p w:rsidR="00000000" w:rsidRDefault="000E1CA1" w:rsidP="000E1CA1">
      <w:pPr>
        <w:numPr>
          <w:ilvl w:val="0"/>
          <w:numId w:val="14"/>
        </w:numPr>
        <w:spacing w:line="480" w:lineRule="auto"/>
        <w:jc w:val="both"/>
        <w:rPr>
          <w:rFonts w:ascii="Arial" w:hAnsi="Arial" w:cs="Arial"/>
        </w:rPr>
      </w:pPr>
      <w:r>
        <w:rPr>
          <w:rFonts w:ascii="Arial" w:hAnsi="Arial" w:cs="Arial"/>
        </w:rPr>
        <w:sym w:font="Symbol" w:char="F0A6"/>
      </w:r>
      <w:r>
        <w:rPr>
          <w:rFonts w:ascii="Arial" w:hAnsi="Arial" w:cs="Arial"/>
        </w:rPr>
        <w:t xml:space="preserve">(x) </w:t>
      </w:r>
      <w:r>
        <w:rPr>
          <w:rFonts w:ascii="Arial" w:hAnsi="Arial" w:cs="Arial"/>
        </w:rPr>
        <w:sym w:font="Symbol" w:char="F0B3"/>
      </w:r>
      <w:r>
        <w:rPr>
          <w:rFonts w:ascii="Arial" w:hAnsi="Arial" w:cs="Arial"/>
        </w:rPr>
        <w:t xml:space="preserve"> 0  para -</w:t>
      </w:r>
      <w:r>
        <w:rPr>
          <w:rFonts w:ascii="Arial" w:hAnsi="Arial" w:cs="Arial"/>
        </w:rPr>
        <w:sym w:font="Symbol" w:char="F0A5"/>
      </w:r>
      <w:r>
        <w:rPr>
          <w:rFonts w:ascii="Arial" w:hAnsi="Arial" w:cs="Arial"/>
        </w:rPr>
        <w:t xml:space="preserve"> </w:t>
      </w:r>
      <w:r>
        <w:rPr>
          <w:rFonts w:ascii="Arial" w:hAnsi="Arial" w:cs="Arial"/>
        </w:rPr>
        <w:sym w:font="Symbol" w:char="F03C"/>
      </w:r>
      <w:r>
        <w:rPr>
          <w:rFonts w:ascii="Arial" w:hAnsi="Arial" w:cs="Arial"/>
        </w:rPr>
        <w:t xml:space="preserve"> x </w:t>
      </w:r>
      <w:r>
        <w:rPr>
          <w:rFonts w:ascii="Arial" w:hAnsi="Arial" w:cs="Arial"/>
        </w:rPr>
        <w:sym w:font="Symbol" w:char="F03C"/>
      </w:r>
      <w:r>
        <w:rPr>
          <w:rFonts w:ascii="Arial" w:hAnsi="Arial" w:cs="Arial"/>
        </w:rPr>
        <w:t xml:space="preserve"> </w:t>
      </w:r>
      <w:r>
        <w:rPr>
          <w:rFonts w:ascii="Arial" w:hAnsi="Arial" w:cs="Arial"/>
        </w:rPr>
        <w:sym w:font="Symbol" w:char="F0A5"/>
      </w:r>
    </w:p>
    <w:p w:rsidR="00000000" w:rsidRDefault="000E1CA1" w:rsidP="000E1CA1">
      <w:pPr>
        <w:numPr>
          <w:ilvl w:val="0"/>
          <w:numId w:val="14"/>
        </w:numPr>
        <w:spacing w:line="480" w:lineRule="auto"/>
        <w:jc w:val="both"/>
        <w:rPr>
          <w:rFonts w:ascii="Arial" w:hAnsi="Arial" w:cs="Arial"/>
        </w:rPr>
      </w:pPr>
      <w:r>
        <w:rPr>
          <w:rFonts w:ascii="Arial" w:hAnsi="Arial" w:cs="Arial"/>
          <w:position w:val="-18"/>
        </w:rPr>
        <w:object w:dxaOrig="1420" w:dyaOrig="520">
          <v:shape id="_x0000_i1033" type="#_x0000_t75" style="width:81pt;height:30pt" o:ole="">
            <v:imagedata r:id="rId30" o:title=""/>
          </v:shape>
          <o:OLEObject Type="Embed" ProgID="Equation.3" ShapeID="_x0000_i1033" DrawAspect="Content" ObjectID="_1308036909" r:id="rId31"/>
        </w:object>
      </w:r>
    </w:p>
    <w:p w:rsidR="00000000" w:rsidRDefault="000E1CA1" w:rsidP="000E1CA1">
      <w:pPr>
        <w:numPr>
          <w:ilvl w:val="0"/>
          <w:numId w:val="14"/>
        </w:numPr>
        <w:spacing w:line="480" w:lineRule="auto"/>
        <w:jc w:val="both"/>
        <w:rPr>
          <w:rFonts w:ascii="Arial" w:hAnsi="Arial" w:cs="Arial"/>
          <w:lang w:val="en-US"/>
        </w:rPr>
      </w:pPr>
      <w:r>
        <w:rPr>
          <w:rFonts w:ascii="Arial" w:hAnsi="Arial" w:cs="Arial"/>
          <w:lang w:val="en-US"/>
        </w:rPr>
        <w:t xml:space="preserve">P(a </w:t>
      </w:r>
      <w:r>
        <w:rPr>
          <w:rFonts w:ascii="Arial" w:hAnsi="Arial" w:cs="Arial"/>
          <w:lang w:val="en-US"/>
        </w:rPr>
        <w:sym w:font="Symbol" w:char="F0A3"/>
      </w:r>
      <w:r>
        <w:rPr>
          <w:rFonts w:ascii="Arial" w:hAnsi="Arial" w:cs="Arial"/>
          <w:lang w:val="en-US"/>
        </w:rPr>
        <w:t xml:space="preserve"> X </w:t>
      </w:r>
      <w:r>
        <w:rPr>
          <w:rFonts w:ascii="Arial" w:hAnsi="Arial" w:cs="Arial"/>
          <w:lang w:val="en-US"/>
        </w:rPr>
        <w:sym w:font="Symbol" w:char="F0A3"/>
      </w:r>
      <w:r>
        <w:rPr>
          <w:rFonts w:ascii="Arial" w:hAnsi="Arial" w:cs="Arial"/>
          <w:lang w:val="en-US"/>
        </w:rPr>
        <w:t xml:space="preserve"> b) =  </w:t>
      </w:r>
      <w:r>
        <w:rPr>
          <w:rFonts w:ascii="Arial" w:hAnsi="Arial" w:cs="Arial"/>
          <w:position w:val="-18"/>
          <w:lang w:val="en-US"/>
        </w:rPr>
        <w:object w:dxaOrig="940" w:dyaOrig="520">
          <v:shape id="_x0000_i1034" type="#_x0000_t75" style="width:54.75pt;height:30pt" o:ole="">
            <v:imagedata r:id="rId32" o:title=""/>
          </v:shape>
          <o:OLEObject Type="Embed" ProgID="Equation.3" ShapeID="_x0000_i1034" DrawAspect="Content" ObjectID="_1308036910" r:id="rId33"/>
        </w:object>
      </w:r>
    </w:p>
    <w:p w:rsidR="00000000" w:rsidRDefault="000E1CA1">
      <w:pPr>
        <w:spacing w:line="480" w:lineRule="auto"/>
        <w:ind w:left="1262"/>
        <w:jc w:val="both"/>
        <w:rPr>
          <w:rFonts w:ascii="Arial" w:hAnsi="Arial" w:cs="Arial"/>
          <w:lang w:val="en-US"/>
        </w:rPr>
      </w:pPr>
    </w:p>
    <w:p w:rsidR="00000000" w:rsidRDefault="000E1CA1">
      <w:pPr>
        <w:pStyle w:val="Sangra2detindependiente"/>
      </w:pPr>
      <w:r>
        <w:t>Entonces se denomi</w:t>
      </w:r>
      <w:r>
        <w:t xml:space="preserve">na a </w:t>
      </w:r>
      <w:r>
        <w:rPr>
          <w:position w:val="-10"/>
        </w:rPr>
        <w:object w:dxaOrig="540" w:dyaOrig="320">
          <v:shape id="_x0000_i1035" type="#_x0000_t75" style="width:27pt;height:15.75pt" o:ole="">
            <v:imagedata r:id="rId34" o:title=""/>
          </v:shape>
          <o:OLEObject Type="Embed" ProgID="Equation.3" ShapeID="_x0000_i1035" DrawAspect="Content" ObjectID="_1308036911" r:id="rId35"/>
        </w:object>
      </w:r>
      <w:r>
        <w:t xml:space="preserve"> función de densidad de probabilidad de x.</w:t>
      </w:r>
    </w:p>
    <w:p w:rsidR="00000000" w:rsidRDefault="000E1CA1">
      <w:pPr>
        <w:spacing w:line="480" w:lineRule="auto"/>
        <w:ind w:left="902"/>
        <w:jc w:val="both"/>
        <w:rPr>
          <w:rFonts w:ascii="Arial" w:hAnsi="Arial" w:cs="Arial"/>
        </w:rPr>
      </w:pPr>
      <w:r>
        <w:rPr>
          <w:rFonts w:ascii="Arial" w:hAnsi="Arial" w:cs="Arial"/>
        </w:rPr>
        <w:t>La función de distribución acumulada para una variable aleatoria continua x, está dada por:</w:t>
      </w:r>
    </w:p>
    <w:p w:rsidR="00000000" w:rsidRDefault="000E1CA1">
      <w:pPr>
        <w:spacing w:line="480" w:lineRule="auto"/>
        <w:ind w:left="902"/>
        <w:jc w:val="both"/>
        <w:rPr>
          <w:rFonts w:ascii="Arial" w:hAnsi="Arial" w:cs="Arial"/>
          <w:lang w:val="en-US"/>
        </w:rPr>
      </w:pPr>
      <w:r>
        <w:rPr>
          <w:rFonts w:ascii="Arial" w:hAnsi="Arial" w:cs="Arial"/>
          <w:lang w:val="en-US"/>
        </w:rPr>
        <w:t xml:space="preserve">F (x) =  P( X </w:t>
      </w:r>
      <w:r>
        <w:rPr>
          <w:rFonts w:ascii="Arial" w:hAnsi="Arial" w:cs="Arial"/>
          <w:lang w:val="en-US"/>
        </w:rPr>
        <w:sym w:font="Symbol" w:char="F0A3"/>
      </w:r>
      <w:r>
        <w:rPr>
          <w:rFonts w:ascii="Arial" w:hAnsi="Arial" w:cs="Arial"/>
          <w:lang w:val="en-US"/>
        </w:rPr>
        <w:t xml:space="preserve"> x ) = </w:t>
      </w:r>
      <w:r>
        <w:rPr>
          <w:rFonts w:ascii="Arial" w:hAnsi="Arial" w:cs="Arial"/>
          <w:position w:val="-18"/>
          <w:lang w:val="en-US"/>
        </w:rPr>
        <w:object w:dxaOrig="999" w:dyaOrig="520">
          <v:shape id="_x0000_i1036" type="#_x0000_t75" style="width:50.25pt;height:26.25pt" o:ole="">
            <v:imagedata r:id="rId36" o:title=""/>
          </v:shape>
          <o:OLEObject Type="Embed" ProgID="Equation.3" ShapeID="_x0000_i1036" DrawAspect="Content" ObjectID="_1308036912" r:id="rId37"/>
        </w:object>
      </w:r>
      <w:r>
        <w:rPr>
          <w:rFonts w:ascii="Arial" w:hAnsi="Arial" w:cs="Arial"/>
          <w:lang w:val="en-US"/>
        </w:rPr>
        <w:t xml:space="preserve">    -</w:t>
      </w:r>
      <w:r>
        <w:rPr>
          <w:rFonts w:ascii="Arial" w:hAnsi="Arial" w:cs="Arial"/>
        </w:rPr>
        <w:sym w:font="Symbol" w:char="F0A5"/>
      </w:r>
      <w:r>
        <w:rPr>
          <w:rFonts w:ascii="Arial" w:hAnsi="Arial" w:cs="Arial"/>
          <w:lang w:val="en-US"/>
        </w:rPr>
        <w:t xml:space="preserve"> </w:t>
      </w:r>
      <w:r>
        <w:rPr>
          <w:rFonts w:ascii="Arial" w:hAnsi="Arial" w:cs="Arial"/>
        </w:rPr>
        <w:sym w:font="Symbol" w:char="F03C"/>
      </w:r>
      <w:r>
        <w:rPr>
          <w:rFonts w:ascii="Arial" w:hAnsi="Arial" w:cs="Arial"/>
          <w:lang w:val="en-US"/>
        </w:rPr>
        <w:t xml:space="preserve"> x </w:t>
      </w:r>
      <w:r>
        <w:rPr>
          <w:rFonts w:ascii="Arial" w:hAnsi="Arial" w:cs="Arial"/>
        </w:rPr>
        <w:sym w:font="Symbol" w:char="F03C"/>
      </w:r>
      <w:r>
        <w:rPr>
          <w:rFonts w:ascii="Arial" w:hAnsi="Arial" w:cs="Arial"/>
          <w:lang w:val="en-US"/>
        </w:rPr>
        <w:t xml:space="preserve"> </w:t>
      </w:r>
      <w:r>
        <w:rPr>
          <w:rFonts w:ascii="Arial" w:hAnsi="Arial" w:cs="Arial"/>
        </w:rPr>
        <w:sym w:font="Symbol" w:char="F0A5"/>
      </w:r>
    </w:p>
    <w:p w:rsidR="00000000" w:rsidRDefault="000E1CA1">
      <w:pPr>
        <w:spacing w:line="480" w:lineRule="auto"/>
        <w:ind w:left="902"/>
        <w:jc w:val="both"/>
        <w:rPr>
          <w:rFonts w:ascii="Arial" w:hAnsi="Arial" w:cs="Arial"/>
        </w:rPr>
      </w:pPr>
      <w:r>
        <w:rPr>
          <w:rFonts w:ascii="Arial" w:hAnsi="Arial" w:cs="Arial"/>
        </w:rPr>
        <w:sym w:font="Symbol" w:char="F0A6"/>
      </w:r>
      <w:r>
        <w:rPr>
          <w:rFonts w:ascii="Arial" w:hAnsi="Arial" w:cs="Arial"/>
        </w:rPr>
        <w:t>(t)  es el valor de la función d</w:t>
      </w:r>
      <w:r>
        <w:rPr>
          <w:rFonts w:ascii="Arial" w:hAnsi="Arial" w:cs="Arial"/>
        </w:rPr>
        <w:t>e densidad de probabilidad de X en 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7"/>
        </w:numPr>
        <w:spacing w:line="480" w:lineRule="auto"/>
        <w:jc w:val="both"/>
        <w:rPr>
          <w:rFonts w:ascii="Arial" w:hAnsi="Arial" w:cs="Arial"/>
        </w:rPr>
      </w:pPr>
      <w:r>
        <w:rPr>
          <w:rFonts w:ascii="Arial" w:hAnsi="Arial" w:cs="Arial"/>
          <w:b/>
          <w:bCs/>
        </w:rPr>
        <w:t>Valor esperado de una variable aleatoria.-</w:t>
      </w:r>
      <w:r>
        <w:rPr>
          <w:rFonts w:ascii="Arial" w:hAnsi="Arial" w:cs="Arial"/>
        </w:rPr>
        <w:t xml:space="preserve">  Si X es una variable aleatoria discreta y </w:t>
      </w:r>
      <w:r>
        <w:rPr>
          <w:rFonts w:ascii="Arial" w:hAnsi="Arial" w:cs="Arial"/>
        </w:rPr>
        <w:sym w:font="Symbol" w:char="F0A6"/>
      </w:r>
      <w:r>
        <w:rPr>
          <w:rFonts w:ascii="Arial" w:hAnsi="Arial" w:cs="Arial"/>
        </w:rPr>
        <w:t>(x) es el valor de su distribución de probabilidad en X, el valor esperado de esta variable aleatoria es:</w:t>
      </w:r>
    </w:p>
    <w:p w:rsidR="00000000" w:rsidRDefault="000E1CA1">
      <w:pPr>
        <w:pStyle w:val="Sangra2detindependiente"/>
        <w:jc w:val="left"/>
      </w:pPr>
      <w:r>
        <w:t xml:space="preserve">E(x) = </w:t>
      </w:r>
      <w:r>
        <w:rPr>
          <w:sz w:val="28"/>
        </w:rPr>
        <w:sym w:font="Symbol" w:char="F053"/>
      </w:r>
      <w:r>
        <w:t xml:space="preserve"> x . </w:t>
      </w:r>
      <w:r>
        <w:sym w:font="Symbol" w:char="F0A6"/>
      </w:r>
      <w:r>
        <w:t>(x)</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En</w:t>
      </w:r>
      <w:r>
        <w:rPr>
          <w:rFonts w:ascii="Arial" w:hAnsi="Arial" w:cs="Arial"/>
        </w:rPr>
        <w:t xml:space="preserve"> forma correspondiente, si X es una variable aleatoria continua y </w:t>
      </w:r>
      <w:r>
        <w:rPr>
          <w:rFonts w:ascii="Arial" w:hAnsi="Arial" w:cs="Arial"/>
        </w:rPr>
        <w:sym w:font="Symbol" w:char="F0A6"/>
      </w:r>
      <w:r>
        <w:rPr>
          <w:rFonts w:ascii="Arial" w:hAnsi="Arial" w:cs="Arial"/>
        </w:rPr>
        <w:t>(x) es el valor de su densidad de probabilidad en X, el valor esperado de esta variable aleatoria es:</w:t>
      </w:r>
    </w:p>
    <w:p w:rsidR="00000000" w:rsidRDefault="000E1CA1">
      <w:pPr>
        <w:spacing w:line="480" w:lineRule="auto"/>
        <w:ind w:left="902"/>
        <w:rPr>
          <w:rFonts w:ascii="Arial" w:hAnsi="Arial" w:cs="Arial"/>
        </w:rPr>
      </w:pPr>
      <w:r>
        <w:rPr>
          <w:rFonts w:ascii="Arial" w:hAnsi="Arial" w:cs="Arial"/>
        </w:rPr>
        <w:t xml:space="preserve">E(x) =  </w:t>
      </w:r>
      <w:r>
        <w:rPr>
          <w:rFonts w:ascii="Arial" w:hAnsi="Arial" w:cs="Arial"/>
          <w:position w:val="-18"/>
        </w:rPr>
        <w:object w:dxaOrig="1240" w:dyaOrig="520">
          <v:shape id="_x0000_i1037" type="#_x0000_t75" style="width:62.25pt;height:26.25pt" o:ole="">
            <v:imagedata r:id="rId38" o:title=""/>
          </v:shape>
          <o:OLEObject Type="Embed" ProgID="Equation.3" ShapeID="_x0000_i1037" DrawAspect="Content" ObjectID="_1308036913" r:id="rId39"/>
        </w:objec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Sangra2detindependiente"/>
      </w:pPr>
      <w:r>
        <w:t xml:space="preserve">Si X es una variable aleatoria discreta y </w:t>
      </w:r>
      <w:r>
        <w:sym w:font="Symbol" w:char="F0A6"/>
      </w:r>
      <w:r>
        <w:t xml:space="preserve">(x) es el </w:t>
      </w:r>
      <w:r>
        <w:t>valor de su distribución de probabilidad en X y g(x) una función que depende de X , el valor esperado de g(x) se lo define como:</w:t>
      </w:r>
    </w:p>
    <w:p w:rsidR="00000000" w:rsidRDefault="000E1CA1">
      <w:pPr>
        <w:spacing w:line="480" w:lineRule="auto"/>
        <w:jc w:val="both"/>
        <w:rPr>
          <w:rFonts w:ascii="Arial" w:hAnsi="Arial" w:cs="Arial"/>
          <w:lang w:val="es-ES_tradnl"/>
        </w:rPr>
      </w:pPr>
      <w:r>
        <w:rPr>
          <w:rFonts w:ascii="Arial" w:hAnsi="Arial" w:cs="Arial"/>
          <w:lang w:val="es-ES_tradnl"/>
        </w:rPr>
        <w:t xml:space="preserve">                                           </w:t>
      </w:r>
      <w:r>
        <w:rPr>
          <w:rFonts w:ascii="Arial" w:hAnsi="Arial" w:cs="Arial"/>
        </w:rPr>
        <w:t>E</w:t>
      </w:r>
      <w:r>
        <w:rPr>
          <w:rFonts w:ascii="Arial" w:hAnsi="Arial" w:cs="Arial"/>
          <w:lang w:val="es-ES_tradnl"/>
        </w:rPr>
        <w:t xml:space="preserve"> </w:t>
      </w:r>
      <w:r>
        <w:rPr>
          <w:rFonts w:ascii="Arial" w:hAnsi="Arial" w:cs="Arial"/>
        </w:rPr>
        <w:sym w:font="Symbol" w:char="F05B"/>
      </w:r>
      <w:r>
        <w:rPr>
          <w:rFonts w:ascii="Arial" w:hAnsi="Arial" w:cs="Arial"/>
          <w:lang w:val="es-ES_tradnl"/>
        </w:rPr>
        <w:t>g(x)</w:t>
      </w:r>
      <w:r>
        <w:rPr>
          <w:rFonts w:ascii="Arial" w:hAnsi="Arial" w:cs="Arial"/>
        </w:rPr>
        <w:sym w:font="Symbol" w:char="F05D"/>
      </w:r>
      <w:r>
        <w:rPr>
          <w:rFonts w:ascii="Arial" w:hAnsi="Arial" w:cs="Arial"/>
          <w:lang w:val="es-ES_tradnl"/>
        </w:rPr>
        <w:t xml:space="preserve"> =    </w:t>
      </w:r>
      <w:r>
        <w:rPr>
          <w:rFonts w:ascii="Arial" w:hAnsi="Arial" w:cs="Arial"/>
          <w:sz w:val="36"/>
        </w:rPr>
        <w:sym w:font="Symbol" w:char="F053"/>
      </w:r>
      <w:r>
        <w:rPr>
          <w:rFonts w:ascii="Arial" w:hAnsi="Arial" w:cs="Arial"/>
          <w:lang w:val="es-ES_tradnl"/>
        </w:rPr>
        <w:t xml:space="preserve"> g(x) </w:t>
      </w:r>
      <w:r>
        <w:rPr>
          <w:rFonts w:ascii="Arial" w:hAnsi="Arial" w:cs="Arial"/>
          <w:lang w:val="en-US"/>
        </w:rPr>
        <w:sym w:font="Symbol" w:char="F02E"/>
      </w:r>
      <w:r>
        <w:rPr>
          <w:rFonts w:ascii="Arial" w:hAnsi="Arial" w:cs="Arial"/>
          <w:lang w:val="es-ES_tradnl"/>
        </w:rPr>
        <w:t xml:space="preserve"> </w:t>
      </w:r>
      <w:r>
        <w:rPr>
          <w:rFonts w:ascii="Arial" w:hAnsi="Arial" w:cs="Arial"/>
        </w:rPr>
        <w:sym w:font="Symbol" w:char="F0A6"/>
      </w:r>
      <w:r>
        <w:rPr>
          <w:rFonts w:ascii="Arial" w:hAnsi="Arial" w:cs="Arial"/>
          <w:lang w:val="es-ES_tradnl"/>
        </w:rPr>
        <w:t>(x)</w:t>
      </w:r>
    </w:p>
    <w:p w:rsidR="00000000" w:rsidRDefault="000E1CA1">
      <w:pPr>
        <w:spacing w:line="480" w:lineRule="auto"/>
        <w:ind w:left="902"/>
        <w:jc w:val="both"/>
        <w:rPr>
          <w:rFonts w:ascii="Arial" w:hAnsi="Arial" w:cs="Arial"/>
        </w:rPr>
      </w:pPr>
      <w:r>
        <w:rPr>
          <w:rFonts w:ascii="Arial" w:hAnsi="Arial" w:cs="Arial"/>
        </w:rPr>
        <w:t xml:space="preserve">Si g(x)  =  x   </w:t>
      </w:r>
      <w:r>
        <w:rPr>
          <w:rFonts w:ascii="Arial" w:hAnsi="Arial" w:cs="Arial"/>
        </w:rPr>
        <w:sym w:font="Symbol" w:char="F0DE"/>
      </w:r>
      <w:r>
        <w:rPr>
          <w:rFonts w:ascii="Arial" w:hAnsi="Arial" w:cs="Arial"/>
        </w:rPr>
        <w:t xml:space="preserve">       E </w:t>
      </w:r>
      <w:r>
        <w:rPr>
          <w:rFonts w:ascii="Arial" w:hAnsi="Arial" w:cs="Arial"/>
        </w:rPr>
        <w:sym w:font="Symbol" w:char="F05B"/>
      </w:r>
      <w:r>
        <w:rPr>
          <w:rFonts w:ascii="Arial" w:hAnsi="Arial" w:cs="Arial"/>
        </w:rPr>
        <w:t>g(x)</w:t>
      </w:r>
      <w:r>
        <w:rPr>
          <w:rFonts w:ascii="Arial" w:hAnsi="Arial" w:cs="Arial"/>
        </w:rPr>
        <w:sym w:font="Symbol" w:char="F05D"/>
      </w:r>
      <w:r>
        <w:rPr>
          <w:rFonts w:ascii="Arial" w:hAnsi="Arial" w:cs="Arial"/>
        </w:rPr>
        <w:t xml:space="preserve">  =  </w:t>
      </w:r>
      <w:r>
        <w:rPr>
          <w:rFonts w:ascii="Arial" w:hAnsi="Arial" w:cs="Arial"/>
          <w:position w:val="-28"/>
        </w:rPr>
        <w:object w:dxaOrig="980" w:dyaOrig="540">
          <v:shape id="_x0000_i1038" type="#_x0000_t75" style="width:48.75pt;height:27pt" o:ole="">
            <v:imagedata r:id="rId40" o:title=""/>
          </v:shape>
          <o:OLEObject Type="Embed" ProgID="Equation.3" ShapeID="_x0000_i1038" DrawAspect="Content" ObjectID="_1308036914" r:id="rId41"/>
        </w:object>
      </w:r>
      <w:r>
        <w:rPr>
          <w:rFonts w:ascii="Arial" w:hAnsi="Arial" w:cs="Arial"/>
        </w:rPr>
        <w:t xml:space="preserve">  = </w:t>
      </w:r>
      <w:r>
        <w:rPr>
          <w:rFonts w:ascii="Arial" w:hAnsi="Arial" w:cs="Arial"/>
        </w:rPr>
        <w:sym w:font="Symbol" w:char="F06D"/>
      </w:r>
    </w:p>
    <w:p w:rsidR="00000000" w:rsidRDefault="000E1CA1">
      <w:pPr>
        <w:pStyle w:val="Textoindependiente"/>
        <w:spacing w:line="480" w:lineRule="auto"/>
        <w:ind w:left="902"/>
        <w:rPr>
          <w:rFonts w:ascii="Arial" w:hAnsi="Arial" w:cs="Arial"/>
        </w:rPr>
      </w:pPr>
      <w:r>
        <w:rPr>
          <w:rFonts w:ascii="Arial" w:hAnsi="Arial" w:cs="Arial"/>
        </w:rPr>
        <w:t xml:space="preserve">                                = Media poblacional (esperanza matemática)</w:t>
      </w:r>
    </w:p>
    <w:p w:rsidR="00000000" w:rsidRDefault="000E1CA1">
      <w:pPr>
        <w:pStyle w:val="Ttulo1"/>
        <w:spacing w:line="480" w:lineRule="auto"/>
        <w:ind w:left="902"/>
        <w:rPr>
          <w:rFonts w:ascii="Arial" w:hAnsi="Arial" w:cs="Arial"/>
          <w:i w:val="0"/>
          <w:iCs w:val="0"/>
        </w:rPr>
      </w:pPr>
      <w:r>
        <w:rPr>
          <w:rFonts w:ascii="Arial" w:hAnsi="Arial" w:cs="Arial"/>
          <w:i w:val="0"/>
          <w:iCs w:val="0"/>
        </w:rPr>
        <w:t xml:space="preserve">       </w:t>
      </w:r>
    </w:p>
    <w:p w:rsidR="00000000" w:rsidRDefault="000E1CA1">
      <w:pPr>
        <w:spacing w:line="480" w:lineRule="auto"/>
        <w:ind w:left="902"/>
        <w:jc w:val="both"/>
        <w:rPr>
          <w:rFonts w:ascii="Arial" w:hAnsi="Arial" w:cs="Arial"/>
          <w:vertAlign w:val="superscript"/>
        </w:rPr>
      </w:pPr>
      <w:r>
        <w:rPr>
          <w:rFonts w:ascii="Arial" w:hAnsi="Arial" w:cs="Arial"/>
        </w:rPr>
        <w:t xml:space="preserve">Si g(x) =(x - </w:t>
      </w:r>
      <w:r>
        <w:rPr>
          <w:rFonts w:ascii="Arial" w:hAnsi="Arial" w:cs="Arial"/>
        </w:rPr>
        <w:sym w:font="Symbol" w:char="F06D"/>
      </w:r>
      <w:r>
        <w:rPr>
          <w:rFonts w:ascii="Arial" w:hAnsi="Arial" w:cs="Arial"/>
        </w:rPr>
        <w:t>)</w:t>
      </w:r>
      <w:r>
        <w:rPr>
          <w:rFonts w:ascii="Arial" w:hAnsi="Arial" w:cs="Arial"/>
          <w:position w:val="-4"/>
        </w:rPr>
        <w:object w:dxaOrig="160" w:dyaOrig="300">
          <v:shape id="_x0000_i1039" type="#_x0000_t75" style="width:8.25pt;height:15pt" o:ole="">
            <v:imagedata r:id="rId42" o:title=""/>
          </v:shape>
          <o:OLEObject Type="Embed" ProgID="Equation.3" ShapeID="_x0000_i1039" DrawAspect="Content" ObjectID="_1308036915" r:id="rId43"/>
        </w:object>
      </w:r>
      <w:r>
        <w:rPr>
          <w:rFonts w:ascii="Arial" w:hAnsi="Arial" w:cs="Arial"/>
        </w:rPr>
        <w:t xml:space="preserve"> </w:t>
      </w:r>
      <w:r>
        <w:rPr>
          <w:rFonts w:ascii="Arial" w:hAnsi="Arial" w:cs="Arial"/>
        </w:rPr>
        <w:sym w:font="Symbol" w:char="F0DE"/>
      </w:r>
      <w:r>
        <w:rPr>
          <w:rFonts w:ascii="Arial" w:hAnsi="Arial" w:cs="Arial"/>
        </w:rPr>
        <w:t xml:space="preserve">  E </w:t>
      </w:r>
      <w:r>
        <w:rPr>
          <w:rFonts w:ascii="Arial" w:hAnsi="Arial" w:cs="Arial"/>
        </w:rPr>
        <w:sym w:font="Symbol" w:char="F05B"/>
      </w:r>
      <w:r>
        <w:rPr>
          <w:rFonts w:ascii="Arial" w:hAnsi="Arial" w:cs="Arial"/>
        </w:rPr>
        <w:t>g(x)</w:t>
      </w:r>
      <w:r>
        <w:rPr>
          <w:rFonts w:ascii="Arial" w:hAnsi="Arial" w:cs="Arial"/>
        </w:rPr>
        <w:sym w:font="Symbol" w:char="F05D"/>
      </w:r>
      <w:r>
        <w:rPr>
          <w:rFonts w:ascii="Arial" w:hAnsi="Arial" w:cs="Arial"/>
        </w:rPr>
        <w:t xml:space="preserve">  = </w:t>
      </w:r>
      <w:r>
        <w:rPr>
          <w:rFonts w:ascii="Arial" w:hAnsi="Arial" w:cs="Arial"/>
          <w:position w:val="-28"/>
        </w:rPr>
        <w:object w:dxaOrig="1640" w:dyaOrig="540">
          <v:shape id="_x0000_i1040" type="#_x0000_t75" style="width:81.75pt;height:27pt" o:ole="">
            <v:imagedata r:id="rId44" o:title=""/>
          </v:shape>
          <o:OLEObject Type="Embed" ProgID="Equation.3" ShapeID="_x0000_i1040" DrawAspect="Content" ObjectID="_1308036916" r:id="rId45"/>
        </w:object>
      </w:r>
      <w:r>
        <w:rPr>
          <w:rFonts w:ascii="Arial" w:hAnsi="Arial" w:cs="Arial"/>
        </w:rPr>
        <w:t xml:space="preserve">  = </w:t>
      </w:r>
      <w:r>
        <w:rPr>
          <w:rFonts w:ascii="Arial" w:hAnsi="Arial" w:cs="Arial"/>
        </w:rPr>
        <w:sym w:font="Symbol" w:char="F073"/>
      </w:r>
      <w:r>
        <w:rPr>
          <w:rFonts w:ascii="Arial" w:hAnsi="Arial" w:cs="Arial"/>
          <w:position w:val="-4"/>
        </w:rPr>
        <w:object w:dxaOrig="160" w:dyaOrig="300">
          <v:shape id="_x0000_i1041" type="#_x0000_t75" style="width:8.25pt;height:15pt" o:ole="">
            <v:imagedata r:id="rId46" o:title=""/>
          </v:shape>
          <o:OLEObject Type="Embed" ProgID="Equation.3" ShapeID="_x0000_i1041" DrawAspect="Content" ObjectID="_1308036917" r:id="rId47"/>
        </w:object>
      </w:r>
    </w:p>
    <w:p w:rsidR="00000000" w:rsidRDefault="000E1CA1">
      <w:pPr>
        <w:spacing w:line="480" w:lineRule="auto"/>
        <w:ind w:left="902"/>
        <w:jc w:val="both"/>
        <w:rPr>
          <w:rFonts w:ascii="Arial" w:hAnsi="Arial" w:cs="Arial"/>
        </w:rPr>
      </w:pPr>
      <w:r>
        <w:rPr>
          <w:rFonts w:ascii="Arial" w:hAnsi="Arial" w:cs="Arial"/>
        </w:rPr>
        <w:t xml:space="preserve">                                = Varianza poblacional</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Si g(x) = </w:t>
      </w:r>
      <w:r>
        <w:rPr>
          <w:rFonts w:ascii="Arial" w:hAnsi="Arial" w:cs="Arial"/>
          <w:sz w:val="32"/>
        </w:rPr>
        <w:t>e</w:t>
      </w:r>
      <w:r>
        <w:rPr>
          <w:rFonts w:ascii="Arial" w:hAnsi="Arial" w:cs="Arial"/>
          <w:position w:val="-4"/>
          <w:sz w:val="32"/>
        </w:rPr>
        <w:object w:dxaOrig="300" w:dyaOrig="300">
          <v:shape id="_x0000_i1042" type="#_x0000_t75" style="width:15pt;height:15pt" o:ole="">
            <v:imagedata r:id="rId48" o:title=""/>
          </v:shape>
          <o:OLEObject Type="Embed" ProgID="Equation.3" ShapeID="_x0000_i1042" DrawAspect="Content" ObjectID="_1308036918" r:id="rId49"/>
        </w:object>
      </w:r>
      <w:r>
        <w:rPr>
          <w:rFonts w:ascii="Arial" w:hAnsi="Arial" w:cs="Arial"/>
        </w:rPr>
        <w:t xml:space="preserve">  </w:t>
      </w:r>
      <w:r>
        <w:rPr>
          <w:rFonts w:ascii="Arial" w:hAnsi="Arial" w:cs="Arial"/>
        </w:rPr>
        <w:sym w:font="Symbol" w:char="F0DE"/>
      </w:r>
      <w:r>
        <w:rPr>
          <w:rFonts w:ascii="Arial" w:hAnsi="Arial" w:cs="Arial"/>
        </w:rPr>
        <w:t xml:space="preserve">     E </w:t>
      </w:r>
      <w:r>
        <w:rPr>
          <w:rFonts w:ascii="Arial" w:hAnsi="Arial" w:cs="Arial"/>
        </w:rPr>
        <w:sym w:font="Symbol" w:char="F05B"/>
      </w:r>
      <w:r>
        <w:rPr>
          <w:rFonts w:ascii="Arial" w:hAnsi="Arial" w:cs="Arial"/>
        </w:rPr>
        <w:t>g(x)</w:t>
      </w:r>
      <w:r>
        <w:rPr>
          <w:rFonts w:ascii="Arial" w:hAnsi="Arial" w:cs="Arial"/>
        </w:rPr>
        <w:sym w:font="Symbol" w:char="F05D"/>
      </w:r>
      <w:r>
        <w:rPr>
          <w:rFonts w:ascii="Arial" w:hAnsi="Arial" w:cs="Arial"/>
        </w:rPr>
        <w:t xml:space="preserve">  = </w:t>
      </w:r>
      <w:r>
        <w:rPr>
          <w:rFonts w:ascii="Arial" w:hAnsi="Arial" w:cs="Arial"/>
          <w:position w:val="-28"/>
        </w:rPr>
        <w:object w:dxaOrig="1200" w:dyaOrig="540">
          <v:shape id="_x0000_i1043" type="#_x0000_t75" style="width:60pt;height:27pt" o:ole="">
            <v:imagedata r:id="rId50" o:title=""/>
          </v:shape>
          <o:OLEObject Type="Embed" ProgID="Equation.3" ShapeID="_x0000_i1043" DrawAspect="Content" ObjectID="_1308036919" r:id="rId51"/>
        </w:object>
      </w:r>
      <w:r>
        <w:rPr>
          <w:rFonts w:ascii="Arial" w:hAnsi="Arial" w:cs="Arial"/>
        </w:rPr>
        <w:t xml:space="preserve">  = M</w:t>
      </w:r>
      <w:r>
        <w:rPr>
          <w:rFonts w:ascii="Arial" w:hAnsi="Arial" w:cs="Arial"/>
          <w:position w:val="-12"/>
        </w:rPr>
        <w:object w:dxaOrig="160" w:dyaOrig="360">
          <v:shape id="_x0000_i1044" type="#_x0000_t75" style="width:8.25pt;height:18pt" o:ole="">
            <v:imagedata r:id="rId52" o:title=""/>
          </v:shape>
          <o:OLEObject Type="Embed" ProgID="Equation.3" ShapeID="_x0000_i1044" DrawAspect="Content" ObjectID="_1308036920" r:id="rId53"/>
        </w:object>
      </w:r>
      <w:r>
        <w:rPr>
          <w:rFonts w:ascii="Arial" w:hAnsi="Arial" w:cs="Arial"/>
        </w:rPr>
        <w:t xml:space="preserve"> (t) </w:t>
      </w:r>
    </w:p>
    <w:p w:rsidR="00000000" w:rsidRDefault="000E1CA1">
      <w:pPr>
        <w:spacing w:line="480" w:lineRule="auto"/>
        <w:ind w:left="902"/>
        <w:jc w:val="both"/>
        <w:rPr>
          <w:rFonts w:ascii="Arial" w:hAnsi="Arial" w:cs="Arial"/>
        </w:rPr>
      </w:pPr>
      <w:r>
        <w:rPr>
          <w:rFonts w:ascii="Arial" w:hAnsi="Arial" w:cs="Arial"/>
        </w:rPr>
        <w:t xml:space="preserve">                                = Función generadora de momentos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Sangra2detindependiente"/>
      </w:pPr>
      <w:r>
        <w:t>Si X es una variable aleatoria continua con función de densidad de probabilid</w:t>
      </w:r>
      <w:r>
        <w:t xml:space="preserve">ad </w:t>
      </w:r>
      <w:r>
        <w:sym w:font="Symbol" w:char="F0A6"/>
      </w:r>
      <w:r>
        <w:t>(x)  y g(x) una función que depende de X, el valor esperado de g(x) se lo define como:</w:t>
      </w:r>
    </w:p>
    <w:p w:rsidR="00000000" w:rsidRDefault="000E1CA1">
      <w:pPr>
        <w:spacing w:line="480" w:lineRule="auto"/>
        <w:ind w:left="902"/>
        <w:jc w:val="both"/>
        <w:rPr>
          <w:rFonts w:ascii="Arial" w:hAnsi="Arial" w:cs="Arial"/>
          <w:lang w:val="es-ES_tradnl"/>
        </w:rPr>
      </w:pPr>
      <w:r>
        <w:rPr>
          <w:rFonts w:ascii="Arial" w:hAnsi="Arial" w:cs="Arial"/>
          <w:lang w:val="es-ES_tradnl"/>
        </w:rPr>
        <w:t xml:space="preserve">                               </w:t>
      </w:r>
      <w:r>
        <w:rPr>
          <w:rFonts w:ascii="Arial" w:hAnsi="Arial" w:cs="Arial"/>
        </w:rPr>
        <w:t>E</w:t>
      </w:r>
      <w:r>
        <w:rPr>
          <w:rFonts w:ascii="Arial" w:hAnsi="Arial" w:cs="Arial"/>
          <w:lang w:val="es-ES_tradnl"/>
        </w:rPr>
        <w:t xml:space="preserve"> </w:t>
      </w:r>
      <w:r>
        <w:rPr>
          <w:rFonts w:ascii="Arial" w:hAnsi="Arial" w:cs="Arial"/>
        </w:rPr>
        <w:sym w:font="Symbol" w:char="F05B"/>
      </w:r>
      <w:r>
        <w:rPr>
          <w:rFonts w:ascii="Arial" w:hAnsi="Arial" w:cs="Arial"/>
          <w:lang w:val="es-ES_tradnl"/>
        </w:rPr>
        <w:t>g(x)</w:t>
      </w:r>
      <w:r>
        <w:rPr>
          <w:rFonts w:ascii="Arial" w:hAnsi="Arial" w:cs="Arial"/>
        </w:rPr>
        <w:sym w:font="Symbol" w:char="F05D"/>
      </w:r>
      <w:r>
        <w:rPr>
          <w:rFonts w:ascii="Arial" w:hAnsi="Arial" w:cs="Arial"/>
          <w:lang w:val="es-ES_tradnl"/>
        </w:rPr>
        <w:t xml:space="preserve"> =   g(x) </w:t>
      </w:r>
      <w:r>
        <w:rPr>
          <w:rFonts w:ascii="Arial" w:hAnsi="Arial" w:cs="Arial"/>
          <w:lang w:val="en-US"/>
        </w:rPr>
        <w:sym w:font="Symbol" w:char="F02E"/>
      </w:r>
      <w:r>
        <w:rPr>
          <w:rFonts w:ascii="Arial" w:hAnsi="Arial" w:cs="Arial"/>
          <w:lang w:val="es-ES_tradnl"/>
        </w:rPr>
        <w:t xml:space="preserve"> </w:t>
      </w:r>
      <w:r>
        <w:rPr>
          <w:rFonts w:ascii="Arial" w:hAnsi="Arial" w:cs="Arial"/>
        </w:rPr>
        <w:sym w:font="Symbol" w:char="F0A6"/>
      </w:r>
      <w:r>
        <w:rPr>
          <w:rFonts w:ascii="Arial" w:hAnsi="Arial" w:cs="Arial"/>
          <w:lang w:val="es-ES_tradnl"/>
        </w:rPr>
        <w:t>(x)dx</w:t>
      </w:r>
    </w:p>
    <w:p w:rsidR="00000000" w:rsidRDefault="000E1CA1">
      <w:pPr>
        <w:spacing w:line="480" w:lineRule="auto"/>
        <w:ind w:left="902"/>
        <w:jc w:val="both"/>
        <w:rPr>
          <w:rFonts w:ascii="Arial" w:hAnsi="Arial" w:cs="Arial"/>
        </w:rPr>
      </w:pPr>
      <w:r>
        <w:rPr>
          <w:rFonts w:ascii="Arial" w:hAnsi="Arial" w:cs="Arial"/>
        </w:rPr>
        <w:t xml:space="preserve">Si g(x) = x      </w:t>
      </w:r>
      <w:r>
        <w:rPr>
          <w:rFonts w:ascii="Arial" w:hAnsi="Arial" w:cs="Arial"/>
        </w:rPr>
        <w:sym w:font="Symbol" w:char="F0DE"/>
      </w:r>
      <w:r>
        <w:rPr>
          <w:rFonts w:ascii="Arial" w:hAnsi="Arial" w:cs="Arial"/>
        </w:rPr>
        <w:t xml:space="preserve">     E </w:t>
      </w:r>
      <w:r>
        <w:rPr>
          <w:rFonts w:ascii="Arial" w:hAnsi="Arial" w:cs="Arial"/>
        </w:rPr>
        <w:sym w:font="Symbol" w:char="F05B"/>
      </w:r>
      <w:r>
        <w:rPr>
          <w:rFonts w:ascii="Arial" w:hAnsi="Arial" w:cs="Arial"/>
        </w:rPr>
        <w:t>g(x)</w:t>
      </w:r>
      <w:r>
        <w:rPr>
          <w:rFonts w:ascii="Arial" w:hAnsi="Arial" w:cs="Arial"/>
        </w:rPr>
        <w:sym w:font="Symbol" w:char="F05D"/>
      </w:r>
      <w:r>
        <w:rPr>
          <w:rFonts w:ascii="Arial" w:hAnsi="Arial" w:cs="Arial"/>
        </w:rPr>
        <w:t xml:space="preserve">  =  </w:t>
      </w:r>
      <w:r>
        <w:rPr>
          <w:rFonts w:ascii="Arial" w:hAnsi="Arial" w:cs="Arial"/>
          <w:position w:val="-18"/>
        </w:rPr>
        <w:object w:dxaOrig="1240" w:dyaOrig="520">
          <v:shape id="_x0000_i1045" type="#_x0000_t75" style="width:62.25pt;height:26.25pt" o:ole="">
            <v:imagedata r:id="rId38" o:title=""/>
          </v:shape>
          <o:OLEObject Type="Embed" ProgID="Equation.3" ShapeID="_x0000_i1045" DrawAspect="Content" ObjectID="_1308036921" r:id="rId54"/>
        </w:object>
      </w:r>
      <w:r>
        <w:rPr>
          <w:rFonts w:ascii="Arial" w:hAnsi="Arial" w:cs="Arial"/>
        </w:rPr>
        <w:t xml:space="preserve"> = </w:t>
      </w:r>
      <w:r>
        <w:rPr>
          <w:rFonts w:ascii="Arial" w:hAnsi="Arial" w:cs="Arial"/>
        </w:rPr>
        <w:sym w:font="Symbol" w:char="F06D"/>
      </w:r>
      <w:r>
        <w:rPr>
          <w:rFonts w:ascii="Arial" w:hAnsi="Arial" w:cs="Arial"/>
        </w:rPr>
        <w:t xml:space="preserve">  </w:t>
      </w:r>
    </w:p>
    <w:p w:rsidR="00000000" w:rsidRDefault="000E1CA1">
      <w:pPr>
        <w:pStyle w:val="Textoindependiente"/>
        <w:spacing w:line="480" w:lineRule="auto"/>
        <w:ind w:left="902"/>
        <w:rPr>
          <w:rFonts w:ascii="Arial" w:hAnsi="Arial" w:cs="Arial"/>
        </w:rPr>
      </w:pPr>
      <w:r>
        <w:rPr>
          <w:rFonts w:ascii="Arial" w:hAnsi="Arial" w:cs="Arial"/>
        </w:rPr>
        <w:t xml:space="preserve">                               = Media po</w:t>
      </w:r>
      <w:r>
        <w:rPr>
          <w:rFonts w:ascii="Arial" w:hAnsi="Arial" w:cs="Arial"/>
        </w:rPr>
        <w:t>blacional (esperanza matemática)</w:t>
      </w:r>
    </w:p>
    <w:p w:rsidR="00000000" w:rsidRDefault="000E1CA1">
      <w:pPr>
        <w:pStyle w:val="Ttulo1"/>
        <w:spacing w:line="480" w:lineRule="auto"/>
        <w:ind w:left="902"/>
        <w:rPr>
          <w:rFonts w:ascii="Arial" w:hAnsi="Arial" w:cs="Arial"/>
          <w:i w:val="0"/>
          <w:iCs w:val="0"/>
        </w:rPr>
      </w:pPr>
      <w:r>
        <w:rPr>
          <w:rFonts w:ascii="Arial" w:hAnsi="Arial" w:cs="Arial"/>
          <w:i w:val="0"/>
          <w:iCs w:val="0"/>
        </w:rPr>
        <w:t xml:space="preserve">       </w:t>
      </w:r>
    </w:p>
    <w:p w:rsidR="00000000" w:rsidRDefault="000E1CA1">
      <w:pPr>
        <w:spacing w:line="480" w:lineRule="auto"/>
        <w:ind w:left="902"/>
        <w:jc w:val="both"/>
        <w:rPr>
          <w:rFonts w:ascii="Arial" w:hAnsi="Arial" w:cs="Arial"/>
        </w:rPr>
      </w:pPr>
      <w:r>
        <w:rPr>
          <w:rFonts w:ascii="Arial" w:hAnsi="Arial" w:cs="Arial"/>
        </w:rPr>
        <w:t xml:space="preserve">Si g(x) =(x - </w:t>
      </w:r>
      <w:r>
        <w:rPr>
          <w:rFonts w:ascii="Arial" w:hAnsi="Arial" w:cs="Arial"/>
        </w:rPr>
        <w:sym w:font="Symbol" w:char="F06D"/>
      </w:r>
      <w:r>
        <w:rPr>
          <w:rFonts w:ascii="Arial" w:hAnsi="Arial" w:cs="Arial"/>
        </w:rPr>
        <w:t>)</w:t>
      </w:r>
      <w:r>
        <w:rPr>
          <w:rFonts w:ascii="Arial" w:hAnsi="Arial" w:cs="Arial"/>
          <w:position w:val="-4"/>
        </w:rPr>
        <w:object w:dxaOrig="160" w:dyaOrig="300">
          <v:shape id="_x0000_i1046" type="#_x0000_t75" style="width:8.25pt;height:15pt" o:ole="">
            <v:imagedata r:id="rId55" o:title=""/>
          </v:shape>
          <o:OLEObject Type="Embed" ProgID="Equation.3" ShapeID="_x0000_i1046" DrawAspect="Content" ObjectID="_1308036922" r:id="rId56"/>
        </w:object>
      </w:r>
      <w:r>
        <w:rPr>
          <w:rFonts w:ascii="Arial" w:hAnsi="Arial" w:cs="Arial"/>
        </w:rPr>
        <w:t xml:space="preserve">  </w:t>
      </w:r>
      <w:r>
        <w:rPr>
          <w:rFonts w:ascii="Arial" w:hAnsi="Arial" w:cs="Arial"/>
        </w:rPr>
        <w:sym w:font="Symbol" w:char="F0DE"/>
      </w:r>
      <w:r>
        <w:rPr>
          <w:rFonts w:ascii="Arial" w:hAnsi="Arial" w:cs="Arial"/>
        </w:rPr>
        <w:t xml:space="preserve">   E </w:t>
      </w:r>
      <w:r>
        <w:rPr>
          <w:rFonts w:ascii="Arial" w:hAnsi="Arial" w:cs="Arial"/>
        </w:rPr>
        <w:sym w:font="Symbol" w:char="F05B"/>
      </w:r>
      <w:r>
        <w:rPr>
          <w:rFonts w:ascii="Arial" w:hAnsi="Arial" w:cs="Arial"/>
        </w:rPr>
        <w:t>g(x)</w:t>
      </w:r>
      <w:r>
        <w:rPr>
          <w:rFonts w:ascii="Arial" w:hAnsi="Arial" w:cs="Arial"/>
        </w:rPr>
        <w:sym w:font="Symbol" w:char="F05D"/>
      </w:r>
      <w:r>
        <w:rPr>
          <w:rFonts w:ascii="Arial" w:hAnsi="Arial" w:cs="Arial"/>
        </w:rPr>
        <w:t xml:space="preserve">  =  </w:t>
      </w:r>
      <w:r>
        <w:rPr>
          <w:rFonts w:ascii="Arial" w:hAnsi="Arial" w:cs="Arial"/>
          <w:position w:val="-18"/>
        </w:rPr>
        <w:object w:dxaOrig="1880" w:dyaOrig="520">
          <v:shape id="_x0000_i1047" type="#_x0000_t75" style="width:93.75pt;height:26.25pt" o:ole="">
            <v:imagedata r:id="rId57" o:title=""/>
          </v:shape>
          <o:OLEObject Type="Embed" ProgID="Equation.3" ShapeID="_x0000_i1047" DrawAspect="Content" ObjectID="_1308036923" r:id="rId58"/>
        </w:object>
      </w:r>
      <w:r>
        <w:rPr>
          <w:rFonts w:ascii="Arial" w:hAnsi="Arial" w:cs="Arial"/>
        </w:rPr>
        <w:t xml:space="preserve">  = </w:t>
      </w:r>
      <w:r>
        <w:rPr>
          <w:rFonts w:ascii="Arial" w:hAnsi="Arial" w:cs="Arial"/>
        </w:rPr>
        <w:sym w:font="Symbol" w:char="F073"/>
      </w:r>
      <w:r>
        <w:rPr>
          <w:rFonts w:ascii="Arial" w:hAnsi="Arial" w:cs="Arial"/>
          <w:position w:val="-4"/>
        </w:rPr>
        <w:object w:dxaOrig="160" w:dyaOrig="300">
          <v:shape id="_x0000_i1048" type="#_x0000_t75" style="width:8.25pt;height:15pt" o:ole="">
            <v:imagedata r:id="rId59" o:title=""/>
          </v:shape>
          <o:OLEObject Type="Embed" ProgID="Equation.3" ShapeID="_x0000_i1048" DrawAspect="Content" ObjectID="_1308036924" r:id="rId60"/>
        </w:object>
      </w:r>
    </w:p>
    <w:p w:rsidR="00000000" w:rsidRDefault="000E1CA1">
      <w:pPr>
        <w:spacing w:line="480" w:lineRule="auto"/>
        <w:ind w:left="902"/>
        <w:jc w:val="both"/>
        <w:rPr>
          <w:rFonts w:ascii="Arial" w:hAnsi="Arial" w:cs="Arial"/>
        </w:rPr>
      </w:pPr>
      <w:r>
        <w:rPr>
          <w:rFonts w:ascii="Arial" w:hAnsi="Arial" w:cs="Arial"/>
        </w:rPr>
        <w:t xml:space="preserve">                               = Varianza poblacional</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Si g(x) = </w:t>
      </w:r>
      <w:r>
        <w:rPr>
          <w:rFonts w:ascii="Arial" w:hAnsi="Arial" w:cs="Arial"/>
          <w:sz w:val="32"/>
        </w:rPr>
        <w:t>e</w:t>
      </w:r>
      <w:r>
        <w:rPr>
          <w:rFonts w:ascii="Arial" w:hAnsi="Arial" w:cs="Arial"/>
          <w:position w:val="-4"/>
          <w:sz w:val="32"/>
        </w:rPr>
        <w:object w:dxaOrig="300" w:dyaOrig="300">
          <v:shape id="_x0000_i1049" type="#_x0000_t75" style="width:15pt;height:15pt" o:ole="">
            <v:imagedata r:id="rId61" o:title=""/>
          </v:shape>
          <o:OLEObject Type="Embed" ProgID="Equation.3" ShapeID="_x0000_i1049" DrawAspect="Content" ObjectID="_1308036925" r:id="rId62"/>
        </w:object>
      </w:r>
      <w:r>
        <w:rPr>
          <w:rFonts w:ascii="Arial" w:hAnsi="Arial" w:cs="Arial"/>
        </w:rPr>
        <w:t xml:space="preserve">    </w:t>
      </w:r>
      <w:r>
        <w:rPr>
          <w:rFonts w:ascii="Arial" w:hAnsi="Arial" w:cs="Arial"/>
        </w:rPr>
        <w:sym w:font="Symbol" w:char="F0DE"/>
      </w:r>
      <w:r>
        <w:rPr>
          <w:rFonts w:ascii="Arial" w:hAnsi="Arial" w:cs="Arial"/>
        </w:rPr>
        <w:t xml:space="preserve">      E </w:t>
      </w:r>
      <w:r>
        <w:rPr>
          <w:rFonts w:ascii="Arial" w:hAnsi="Arial" w:cs="Arial"/>
        </w:rPr>
        <w:sym w:font="Symbol" w:char="F05B"/>
      </w:r>
      <w:r>
        <w:rPr>
          <w:rFonts w:ascii="Arial" w:hAnsi="Arial" w:cs="Arial"/>
        </w:rPr>
        <w:t>g(</w:t>
      </w:r>
      <w:r>
        <w:rPr>
          <w:rFonts w:ascii="Arial" w:hAnsi="Arial" w:cs="Arial"/>
        </w:rPr>
        <w:t>x)</w:t>
      </w:r>
      <w:r>
        <w:rPr>
          <w:rFonts w:ascii="Arial" w:hAnsi="Arial" w:cs="Arial"/>
        </w:rPr>
        <w:sym w:font="Symbol" w:char="F05D"/>
      </w:r>
      <w:r>
        <w:rPr>
          <w:rFonts w:ascii="Arial" w:hAnsi="Arial" w:cs="Arial"/>
        </w:rPr>
        <w:t xml:space="preserve">  =   </w:t>
      </w:r>
      <w:r>
        <w:rPr>
          <w:rFonts w:ascii="Arial" w:hAnsi="Arial" w:cs="Arial"/>
          <w:position w:val="-18"/>
        </w:rPr>
        <w:object w:dxaOrig="1180" w:dyaOrig="520">
          <v:shape id="_x0000_i1050" type="#_x0000_t75" style="width:59.25pt;height:26.25pt" o:ole="">
            <v:imagedata r:id="rId63" o:title=""/>
          </v:shape>
          <o:OLEObject Type="Embed" ProgID="Equation.3" ShapeID="_x0000_i1050" DrawAspect="Content" ObjectID="_1308036926" r:id="rId64"/>
        </w:object>
      </w:r>
      <w:r>
        <w:rPr>
          <w:rFonts w:ascii="Arial" w:hAnsi="Arial" w:cs="Arial"/>
        </w:rPr>
        <w:t xml:space="preserve">  = M</w:t>
      </w:r>
      <w:r>
        <w:rPr>
          <w:rFonts w:ascii="Arial" w:hAnsi="Arial" w:cs="Arial"/>
          <w:position w:val="-12"/>
        </w:rPr>
        <w:object w:dxaOrig="160" w:dyaOrig="360">
          <v:shape id="_x0000_i1051" type="#_x0000_t75" style="width:8.25pt;height:18pt" o:ole="">
            <v:imagedata r:id="rId65" o:title=""/>
          </v:shape>
          <o:OLEObject Type="Embed" ProgID="Equation.3" ShapeID="_x0000_i1051" DrawAspect="Content" ObjectID="_1308036927" r:id="rId66"/>
        </w:object>
      </w:r>
      <w:r>
        <w:rPr>
          <w:rFonts w:ascii="Arial" w:hAnsi="Arial" w:cs="Arial"/>
        </w:rPr>
        <w:t xml:space="preserve"> (t) </w:t>
      </w:r>
    </w:p>
    <w:p w:rsidR="00000000" w:rsidRDefault="000E1CA1">
      <w:pPr>
        <w:pStyle w:val="Sangra2detindependiente"/>
      </w:pPr>
      <w:r>
        <w:t xml:space="preserve">                               = Función generadora de momentos</w:t>
      </w: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pPr>
        <w:jc w:val="both"/>
        <w:rPr>
          <w:rFonts w:ascii="Arial" w:hAnsi="Arial" w:cs="Arial"/>
          <w:b/>
          <w:bCs/>
        </w:rPr>
      </w:pPr>
    </w:p>
    <w:p w:rsidR="00000000" w:rsidRDefault="000E1CA1" w:rsidP="000E1CA1">
      <w:pPr>
        <w:numPr>
          <w:ilvl w:val="0"/>
          <w:numId w:val="17"/>
        </w:numPr>
        <w:spacing w:line="480" w:lineRule="auto"/>
        <w:jc w:val="both"/>
        <w:rPr>
          <w:rFonts w:ascii="Arial" w:hAnsi="Arial" w:cs="Arial"/>
        </w:rPr>
      </w:pPr>
      <w:r>
        <w:rPr>
          <w:rFonts w:ascii="Arial" w:hAnsi="Arial" w:cs="Arial"/>
          <w:b/>
          <w:bCs/>
        </w:rPr>
        <w:t>Momentos de una variable aleatoria.-</w:t>
      </w:r>
      <w:r>
        <w:rPr>
          <w:rFonts w:ascii="Arial" w:hAnsi="Arial" w:cs="Arial"/>
        </w:rPr>
        <w:t xml:space="preserve"> El r-ésimo momento con respecto al origen de la variable aleatoria X, representado por</w:t>
      </w:r>
      <w:r>
        <w:rPr>
          <w:rFonts w:ascii="Arial" w:hAnsi="Arial" w:cs="Arial"/>
        </w:rPr>
        <w:t xml:space="preserve"> </w:t>
      </w:r>
      <w:r>
        <w:rPr>
          <w:rFonts w:ascii="Arial" w:hAnsi="Arial" w:cs="Arial"/>
        </w:rPr>
        <w:sym w:font="Symbol" w:char="F06D"/>
      </w:r>
      <w:r>
        <w:rPr>
          <w:rFonts w:ascii="Arial" w:hAnsi="Arial" w:cs="Arial"/>
          <w:position w:val="-10"/>
        </w:rPr>
        <w:object w:dxaOrig="139" w:dyaOrig="360">
          <v:shape id="_x0000_i1052" type="#_x0000_t75" style="width:6.75pt;height:18pt" o:ole="">
            <v:imagedata r:id="rId67" o:title=""/>
          </v:shape>
          <o:OLEObject Type="Embed" ProgID="Equation.3" ShapeID="_x0000_i1052" DrawAspect="Content" ObjectID="_1308036928" r:id="rId68"/>
        </w:object>
      </w:r>
      <w:r>
        <w:rPr>
          <w:rFonts w:ascii="Arial" w:hAnsi="Arial" w:cs="Arial"/>
        </w:rPr>
        <w:t>, es el valor esperado de x</w:t>
      </w:r>
      <w:r>
        <w:rPr>
          <w:rFonts w:ascii="Arial" w:hAnsi="Arial" w:cs="Arial"/>
          <w:position w:val="-4"/>
        </w:rPr>
        <w:object w:dxaOrig="139" w:dyaOrig="300">
          <v:shape id="_x0000_i1053" type="#_x0000_t75" style="width:6.75pt;height:15pt" o:ole="">
            <v:imagedata r:id="rId69" o:title=""/>
          </v:shape>
          <o:OLEObject Type="Embed" ProgID="Equation.3" ShapeID="_x0000_i1053" DrawAspect="Content" ObjectID="_1308036929" r:id="rId70"/>
        </w:object>
      </w:r>
      <w:r>
        <w:rPr>
          <w:rFonts w:ascii="Arial" w:hAnsi="Arial" w:cs="Arial"/>
        </w:rPr>
        <w:t xml:space="preserve"> ,en forma simbólica tenemos</w:t>
      </w:r>
    </w:p>
    <w:p w:rsidR="00000000" w:rsidRDefault="000E1CA1">
      <w:pPr>
        <w:spacing w:line="480" w:lineRule="auto"/>
        <w:ind w:left="902"/>
        <w:jc w:val="both"/>
        <w:rPr>
          <w:rFonts w:ascii="Arial" w:hAnsi="Arial" w:cs="Arial"/>
        </w:rPr>
      </w:pPr>
      <w:r>
        <w:rPr>
          <w:rFonts w:ascii="Arial" w:hAnsi="Arial" w:cs="Arial"/>
        </w:rPr>
        <w:sym w:font="Symbol" w:char="F06D"/>
      </w:r>
      <w:r>
        <w:rPr>
          <w:rFonts w:ascii="Arial" w:hAnsi="Arial" w:cs="Arial"/>
          <w:position w:val="-4"/>
        </w:rPr>
        <w:object w:dxaOrig="100" w:dyaOrig="300">
          <v:shape id="_x0000_i1054" type="#_x0000_t75" style="width:5.25pt;height:15pt" o:ole="">
            <v:imagedata r:id="rId71" o:title=""/>
          </v:shape>
          <o:OLEObject Type="Embed" ProgID="Equation.3" ShapeID="_x0000_i1054" DrawAspect="Content" ObjectID="_1308036930" r:id="rId72"/>
        </w:object>
      </w:r>
      <w:r>
        <w:rPr>
          <w:rFonts w:ascii="Arial" w:hAnsi="Arial" w:cs="Arial"/>
        </w:rPr>
        <w:t xml:space="preserve">  = E(x ) = </w:t>
      </w:r>
      <w:r>
        <w:rPr>
          <w:rFonts w:ascii="Arial" w:hAnsi="Arial" w:cs="Arial"/>
          <w:position w:val="-28"/>
        </w:rPr>
        <w:object w:dxaOrig="1020" w:dyaOrig="540">
          <v:shape id="_x0000_i1055" type="#_x0000_t75" style="width:51pt;height:27pt" o:ole="">
            <v:imagedata r:id="rId73" o:title=""/>
          </v:shape>
          <o:OLEObject Type="Embed" ProgID="Equation.3" ShapeID="_x0000_i1055" DrawAspect="Content" ObjectID="_1308036931" r:id="rId74"/>
        </w:object>
      </w:r>
      <w:r>
        <w:rPr>
          <w:rFonts w:ascii="Arial" w:hAnsi="Arial" w:cs="Arial"/>
        </w:rPr>
        <w:t xml:space="preserve">   para r =  0,1,2,3,4......... </w:t>
      </w:r>
    </w:p>
    <w:p w:rsidR="00000000" w:rsidRDefault="000E1CA1">
      <w:pPr>
        <w:spacing w:line="480" w:lineRule="auto"/>
        <w:ind w:left="902"/>
        <w:jc w:val="both"/>
        <w:rPr>
          <w:rFonts w:ascii="Arial" w:hAnsi="Arial" w:cs="Arial"/>
        </w:rPr>
      </w:pPr>
      <w:r>
        <w:rPr>
          <w:rFonts w:ascii="Arial" w:hAnsi="Arial" w:cs="Arial"/>
        </w:rPr>
        <w:t xml:space="preserve">cuando X es discreta, y </w:t>
      </w:r>
    </w:p>
    <w:p w:rsidR="00000000" w:rsidRDefault="000E1CA1">
      <w:pPr>
        <w:spacing w:line="480" w:lineRule="auto"/>
        <w:ind w:left="902"/>
        <w:jc w:val="both"/>
        <w:rPr>
          <w:rFonts w:ascii="Arial" w:hAnsi="Arial" w:cs="Arial"/>
        </w:rPr>
      </w:pPr>
      <w:r>
        <w:rPr>
          <w:rFonts w:ascii="Arial" w:hAnsi="Arial" w:cs="Arial"/>
        </w:rPr>
        <w:sym w:font="Symbol" w:char="F06D"/>
      </w:r>
      <w:r>
        <w:rPr>
          <w:rFonts w:ascii="Arial" w:hAnsi="Arial" w:cs="Arial"/>
          <w:position w:val="-10"/>
        </w:rPr>
        <w:object w:dxaOrig="139" w:dyaOrig="360">
          <v:shape id="_x0000_i1056" type="#_x0000_t75" style="width:6.75pt;height:18pt" o:ole="">
            <v:imagedata r:id="rId75" o:title=""/>
          </v:shape>
          <o:OLEObject Type="Embed" ProgID="Equation.3" ShapeID="_x0000_i1056" DrawAspect="Content" ObjectID="_1308036932" r:id="rId76"/>
        </w:object>
      </w:r>
      <w:r>
        <w:rPr>
          <w:rFonts w:ascii="Arial" w:hAnsi="Arial" w:cs="Arial"/>
        </w:rPr>
        <w:t xml:space="preserve">  = E(x</w:t>
      </w:r>
      <w:r>
        <w:rPr>
          <w:rFonts w:ascii="Arial" w:hAnsi="Arial" w:cs="Arial"/>
          <w:position w:val="-4"/>
        </w:rPr>
        <w:object w:dxaOrig="139" w:dyaOrig="300">
          <v:shape id="_x0000_i1057" type="#_x0000_t75" style="width:6.75pt;height:15pt" o:ole="">
            <v:imagedata r:id="rId77" o:title=""/>
          </v:shape>
          <o:OLEObject Type="Embed" ProgID="Equation.3" ShapeID="_x0000_i1057" DrawAspect="Content" ObjectID="_1308036933" r:id="rId78"/>
        </w:object>
      </w:r>
      <w:r>
        <w:rPr>
          <w:rFonts w:ascii="Arial" w:hAnsi="Arial" w:cs="Arial"/>
        </w:rPr>
        <w:t xml:space="preserve">) =  </w:t>
      </w:r>
      <w:r>
        <w:rPr>
          <w:rFonts w:ascii="Arial" w:hAnsi="Arial" w:cs="Arial"/>
          <w:position w:val="-18"/>
        </w:rPr>
        <w:object w:dxaOrig="1280" w:dyaOrig="520">
          <v:shape id="_x0000_i1058" type="#_x0000_t75" style="width:63.75pt;height:26.25pt" o:ole="">
            <v:imagedata r:id="rId79" o:title=""/>
          </v:shape>
          <o:OLEObject Type="Embed" ProgID="Equation.3" ShapeID="_x0000_i1058" DrawAspect="Content" ObjectID="_1308036934" r:id="rId80"/>
        </w:object>
      </w:r>
    </w:p>
    <w:p w:rsidR="00000000" w:rsidRDefault="000E1CA1">
      <w:pPr>
        <w:spacing w:line="480" w:lineRule="auto"/>
        <w:ind w:left="194" w:firstLine="708"/>
        <w:jc w:val="both"/>
        <w:rPr>
          <w:rFonts w:ascii="Arial" w:hAnsi="Arial" w:cs="Arial"/>
        </w:rPr>
      </w:pPr>
      <w:r>
        <w:rPr>
          <w:rFonts w:ascii="Arial" w:hAnsi="Arial" w:cs="Arial"/>
        </w:rPr>
        <w:t>Cuando X es continua.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El r-ésimo momento con respecto a la media de la variable aleatoria X, representado por </w:t>
      </w:r>
      <w:r>
        <w:rPr>
          <w:rFonts w:ascii="Arial" w:hAnsi="Arial" w:cs="Arial"/>
        </w:rPr>
        <w:sym w:font="Symbol" w:char="F06D"/>
      </w:r>
      <w:r>
        <w:rPr>
          <w:rFonts w:ascii="Arial" w:hAnsi="Arial" w:cs="Arial"/>
          <w:position w:val="-10"/>
        </w:rPr>
        <w:object w:dxaOrig="139" w:dyaOrig="340">
          <v:shape id="_x0000_i1059" type="#_x0000_t75" style="width:6.75pt;height:17.25pt" o:ole="">
            <v:imagedata r:id="rId81" o:title=""/>
          </v:shape>
          <o:OLEObject Type="Embed" ProgID="Equation.3" ShapeID="_x0000_i1059" DrawAspect="Content" ObjectID="_1308036935" r:id="rId82"/>
        </w:object>
      </w:r>
      <w:r>
        <w:rPr>
          <w:rFonts w:ascii="Arial" w:hAnsi="Arial" w:cs="Arial"/>
        </w:rPr>
        <w:t xml:space="preserve">, es el valor esperado de (x - </w:t>
      </w:r>
      <w:r>
        <w:rPr>
          <w:rFonts w:ascii="Arial" w:hAnsi="Arial" w:cs="Arial"/>
        </w:rPr>
        <w:sym w:font="Symbol" w:char="F06D"/>
      </w:r>
      <w:r>
        <w:rPr>
          <w:rFonts w:ascii="Arial" w:hAnsi="Arial" w:cs="Arial"/>
        </w:rPr>
        <w:t>)</w:t>
      </w:r>
      <w:r>
        <w:rPr>
          <w:rFonts w:ascii="Arial" w:hAnsi="Arial" w:cs="Arial"/>
          <w:position w:val="-4"/>
        </w:rPr>
        <w:object w:dxaOrig="139" w:dyaOrig="300">
          <v:shape id="_x0000_i1060" type="#_x0000_t75" style="width:6.75pt;height:15pt" o:ole="">
            <v:imagedata r:id="rId83" o:title=""/>
          </v:shape>
          <o:OLEObject Type="Embed" ProgID="Equation.3" ShapeID="_x0000_i1060" DrawAspect="Content" ObjectID="_1308036936" r:id="rId84"/>
        </w:object>
      </w:r>
      <w:r>
        <w:rPr>
          <w:rFonts w:ascii="Arial" w:hAnsi="Arial" w:cs="Arial"/>
        </w:rPr>
        <w:t>; simbólicament</w:t>
      </w:r>
      <w:r>
        <w:rPr>
          <w:rFonts w:ascii="Arial" w:hAnsi="Arial" w:cs="Arial"/>
        </w:rPr>
        <w:t xml:space="preserve">e se tiene </w:t>
      </w:r>
    </w:p>
    <w:p w:rsidR="00000000" w:rsidRDefault="000E1CA1">
      <w:pPr>
        <w:spacing w:line="480" w:lineRule="auto"/>
        <w:ind w:left="902"/>
        <w:jc w:val="both"/>
        <w:rPr>
          <w:rFonts w:ascii="Arial" w:hAnsi="Arial" w:cs="Arial"/>
        </w:rPr>
      </w:pPr>
      <w:r>
        <w:rPr>
          <w:rFonts w:ascii="Arial" w:hAnsi="Arial" w:cs="Arial"/>
        </w:rPr>
        <w:sym w:font="Symbol" w:char="F06D"/>
      </w:r>
      <w:r>
        <w:rPr>
          <w:rFonts w:ascii="Arial" w:hAnsi="Arial" w:cs="Arial"/>
          <w:position w:val="-10"/>
        </w:rPr>
        <w:object w:dxaOrig="139" w:dyaOrig="340">
          <v:shape id="_x0000_i1061" type="#_x0000_t75" style="width:6.75pt;height:17.25pt" o:ole="">
            <v:imagedata r:id="rId85" o:title=""/>
          </v:shape>
          <o:OLEObject Type="Embed" ProgID="Equation.3" ShapeID="_x0000_i1061" DrawAspect="Content" ObjectID="_1308036937" r:id="rId86"/>
        </w:object>
      </w:r>
      <w:r>
        <w:rPr>
          <w:rFonts w:ascii="Arial" w:hAnsi="Arial" w:cs="Arial"/>
        </w:rPr>
        <w:t xml:space="preserve">   = E </w:t>
      </w:r>
      <w:r>
        <w:rPr>
          <w:rFonts w:ascii="Arial" w:hAnsi="Arial" w:cs="Arial"/>
        </w:rPr>
        <w:sym w:font="Symbol" w:char="F05B"/>
      </w:r>
      <w:r>
        <w:rPr>
          <w:rFonts w:ascii="Arial" w:hAnsi="Arial" w:cs="Arial"/>
        </w:rPr>
        <w:t xml:space="preserve">( x - </w:t>
      </w:r>
      <w:r>
        <w:rPr>
          <w:rFonts w:ascii="Arial" w:hAnsi="Arial" w:cs="Arial"/>
        </w:rPr>
        <w:sym w:font="Symbol" w:char="F06D"/>
      </w:r>
      <w:r>
        <w:rPr>
          <w:rFonts w:ascii="Arial" w:hAnsi="Arial" w:cs="Arial"/>
        </w:rPr>
        <w:t xml:space="preserve">  )</w:t>
      </w:r>
      <w:r>
        <w:rPr>
          <w:rFonts w:ascii="Arial" w:hAnsi="Arial" w:cs="Arial"/>
          <w:position w:val="-4"/>
        </w:rPr>
        <w:object w:dxaOrig="139" w:dyaOrig="300">
          <v:shape id="_x0000_i1062" type="#_x0000_t75" style="width:6.75pt;height:15pt" o:ole="">
            <v:imagedata r:id="rId69" o:title=""/>
          </v:shape>
          <o:OLEObject Type="Embed" ProgID="Equation.3" ShapeID="_x0000_i1062" DrawAspect="Content" ObjectID="_1308036938" r:id="rId87"/>
        </w:object>
      </w:r>
      <w:r>
        <w:rPr>
          <w:rFonts w:ascii="Arial" w:hAnsi="Arial" w:cs="Arial"/>
        </w:rPr>
        <w:t xml:space="preserve"> </w:t>
      </w:r>
      <w:r>
        <w:rPr>
          <w:rFonts w:ascii="Arial" w:hAnsi="Arial" w:cs="Arial"/>
        </w:rPr>
        <w:sym w:font="Symbol" w:char="F05D"/>
      </w:r>
      <w:r>
        <w:rPr>
          <w:rFonts w:ascii="Arial" w:hAnsi="Arial" w:cs="Arial"/>
        </w:rPr>
        <w:t xml:space="preserve"> = </w:t>
      </w:r>
      <w:r>
        <w:rPr>
          <w:rFonts w:ascii="Arial" w:hAnsi="Arial" w:cs="Arial"/>
          <w:position w:val="-28"/>
        </w:rPr>
        <w:object w:dxaOrig="1620" w:dyaOrig="540">
          <v:shape id="_x0000_i1063" type="#_x0000_t75" style="width:81pt;height:27pt" o:ole="">
            <v:imagedata r:id="rId88" o:title=""/>
          </v:shape>
          <o:OLEObject Type="Embed" ProgID="Equation.3" ShapeID="_x0000_i1063" DrawAspect="Content" ObjectID="_1308036939" r:id="rId89"/>
        </w:object>
      </w:r>
      <w:r>
        <w:rPr>
          <w:rFonts w:ascii="Arial" w:hAnsi="Arial" w:cs="Arial"/>
        </w:rPr>
        <w:t xml:space="preserve">           para r =  0,1,2,3,4......... </w:t>
      </w:r>
    </w:p>
    <w:p w:rsidR="00000000" w:rsidRDefault="000E1CA1">
      <w:pPr>
        <w:spacing w:line="480" w:lineRule="auto"/>
        <w:ind w:left="902"/>
        <w:jc w:val="both"/>
        <w:rPr>
          <w:rFonts w:ascii="Arial" w:hAnsi="Arial" w:cs="Arial"/>
        </w:rPr>
      </w:pPr>
      <w:r>
        <w:rPr>
          <w:rFonts w:ascii="Arial" w:hAnsi="Arial" w:cs="Arial"/>
        </w:rPr>
        <w:t xml:space="preserve">cuando X es discreta, y </w:t>
      </w:r>
    </w:p>
    <w:p w:rsidR="00000000" w:rsidRDefault="000E1CA1">
      <w:pPr>
        <w:spacing w:line="480" w:lineRule="auto"/>
        <w:ind w:left="902"/>
        <w:jc w:val="both"/>
        <w:rPr>
          <w:rFonts w:ascii="Arial" w:hAnsi="Arial" w:cs="Arial"/>
        </w:rPr>
      </w:pPr>
      <w:r>
        <w:rPr>
          <w:rFonts w:ascii="Arial" w:hAnsi="Arial" w:cs="Arial"/>
        </w:rPr>
        <w:sym w:font="Symbol" w:char="F06D"/>
      </w:r>
      <w:r>
        <w:rPr>
          <w:rFonts w:ascii="Arial" w:hAnsi="Arial" w:cs="Arial"/>
        </w:rPr>
        <w:t xml:space="preserve"> </w:t>
      </w:r>
      <w:r>
        <w:rPr>
          <w:rFonts w:ascii="Arial" w:hAnsi="Arial" w:cs="Arial"/>
          <w:position w:val="-10"/>
        </w:rPr>
        <w:object w:dxaOrig="139" w:dyaOrig="340">
          <v:shape id="_x0000_i1064" type="#_x0000_t75" style="width:6.75pt;height:17.25pt" o:ole="">
            <v:imagedata r:id="rId85" o:title=""/>
          </v:shape>
          <o:OLEObject Type="Embed" ProgID="Equation.3" ShapeID="_x0000_i1064" DrawAspect="Content" ObjectID="_1308036940" r:id="rId90"/>
        </w:object>
      </w:r>
      <w:r>
        <w:rPr>
          <w:rFonts w:ascii="Arial" w:hAnsi="Arial" w:cs="Arial"/>
        </w:rPr>
        <w:t xml:space="preserve">  = E </w:t>
      </w:r>
      <w:r>
        <w:rPr>
          <w:rFonts w:ascii="Arial" w:hAnsi="Arial" w:cs="Arial"/>
        </w:rPr>
        <w:sym w:font="Symbol" w:char="F05B"/>
      </w:r>
      <w:r>
        <w:rPr>
          <w:rFonts w:ascii="Arial" w:hAnsi="Arial" w:cs="Arial"/>
        </w:rPr>
        <w:t xml:space="preserve">( x - </w:t>
      </w:r>
      <w:r>
        <w:rPr>
          <w:rFonts w:ascii="Arial" w:hAnsi="Arial" w:cs="Arial"/>
        </w:rPr>
        <w:sym w:font="Symbol" w:char="F06D"/>
      </w:r>
      <w:r>
        <w:rPr>
          <w:rFonts w:ascii="Arial" w:hAnsi="Arial" w:cs="Arial"/>
        </w:rPr>
        <w:t xml:space="preserve">  )</w:t>
      </w:r>
      <w:r>
        <w:rPr>
          <w:rFonts w:ascii="Arial" w:hAnsi="Arial" w:cs="Arial"/>
          <w:position w:val="-4"/>
        </w:rPr>
        <w:object w:dxaOrig="139" w:dyaOrig="300">
          <v:shape id="_x0000_i1065" type="#_x0000_t75" style="width:6.75pt;height:15pt" o:ole="">
            <v:imagedata r:id="rId91" o:title=""/>
          </v:shape>
          <o:OLEObject Type="Embed" ProgID="Equation.3" ShapeID="_x0000_i1065" DrawAspect="Content" ObjectID="_1308036941" r:id="rId92"/>
        </w:object>
      </w:r>
      <w:r>
        <w:rPr>
          <w:rFonts w:ascii="Arial" w:hAnsi="Arial" w:cs="Arial"/>
        </w:rPr>
        <w:t xml:space="preserve"> </w:t>
      </w:r>
      <w:r>
        <w:rPr>
          <w:rFonts w:ascii="Arial" w:hAnsi="Arial" w:cs="Arial"/>
        </w:rPr>
        <w:sym w:font="Symbol" w:char="F05D"/>
      </w:r>
      <w:r>
        <w:rPr>
          <w:rFonts w:ascii="Arial" w:hAnsi="Arial" w:cs="Arial"/>
        </w:rPr>
        <w:t xml:space="preserve"> =  </w:t>
      </w:r>
      <w:r>
        <w:rPr>
          <w:rFonts w:ascii="Arial" w:hAnsi="Arial" w:cs="Arial"/>
          <w:position w:val="-18"/>
        </w:rPr>
        <w:object w:dxaOrig="1880" w:dyaOrig="520">
          <v:shape id="_x0000_i1066" type="#_x0000_t75" style="width:93.75pt;height:26.25pt" o:ole="">
            <v:imagedata r:id="rId93" o:title=""/>
          </v:shape>
          <o:OLEObject Type="Embed" ProgID="Equation.3" ShapeID="_x0000_i1066" DrawAspect="Content" ObjectID="_1308036942" r:id="rId94"/>
        </w:object>
      </w:r>
      <w:r>
        <w:rPr>
          <w:rFonts w:ascii="Arial" w:hAnsi="Arial" w:cs="Arial"/>
        </w:rPr>
        <w:t xml:space="preserve">    </w:t>
      </w:r>
    </w:p>
    <w:p w:rsidR="00000000" w:rsidRDefault="000E1CA1">
      <w:pPr>
        <w:spacing w:line="480" w:lineRule="auto"/>
        <w:ind w:left="902"/>
        <w:jc w:val="both"/>
        <w:rPr>
          <w:rFonts w:ascii="Arial" w:hAnsi="Arial" w:cs="Arial"/>
        </w:rPr>
      </w:pPr>
      <w:r>
        <w:rPr>
          <w:rFonts w:ascii="Arial" w:hAnsi="Arial" w:cs="Arial"/>
        </w:rPr>
        <w:t>cuando X es continua.</w:t>
      </w:r>
    </w:p>
    <w:p w:rsidR="00000000" w:rsidRDefault="000E1CA1">
      <w:pPr>
        <w:spacing w:line="480" w:lineRule="auto"/>
        <w:ind w:left="902"/>
        <w:jc w:val="both"/>
        <w:rPr>
          <w:rFonts w:ascii="Arial" w:hAnsi="Arial" w:cs="Arial"/>
          <w:b/>
          <w:bCs/>
        </w:rPr>
      </w:pPr>
      <w:r>
        <w:rPr>
          <w:rFonts w:ascii="Arial" w:hAnsi="Arial" w:cs="Arial"/>
          <w:b/>
          <w:bCs/>
        </w:rPr>
        <w:t>3.2.1 Estadística descriptiva</w:t>
      </w:r>
    </w:p>
    <w:p w:rsidR="00000000" w:rsidRDefault="000E1CA1">
      <w:pPr>
        <w:spacing w:line="480" w:lineRule="auto"/>
        <w:ind w:left="902"/>
        <w:jc w:val="both"/>
        <w:rPr>
          <w:rFonts w:ascii="Arial" w:hAnsi="Arial" w:cs="Arial"/>
        </w:rPr>
      </w:pPr>
      <w:r>
        <w:rPr>
          <w:rFonts w:ascii="Arial" w:hAnsi="Arial" w:cs="Arial"/>
        </w:rPr>
        <w:t>Es un conjunto de técnicas que colaboran en la presentación y simplificación de los datos para su interpretación, análisis y difusión.  Dentro de la misma, tenemos las tablas y gráficos de f</w:t>
      </w:r>
      <w:r>
        <w:rPr>
          <w:rFonts w:ascii="Arial" w:hAnsi="Arial" w:cs="Arial"/>
        </w:rPr>
        <w:t>recuencias absolutas y relativas; y además medidas de tendencia central, dispersión, sesgos y kurtosis de muestras.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bCs/>
        </w:rPr>
        <w:t>La tabla de frecuencia.-</w:t>
      </w:r>
      <w:r>
        <w:rPr>
          <w:rFonts w:ascii="Arial" w:hAnsi="Arial" w:cs="Arial"/>
        </w:rPr>
        <w:t xml:space="preserve"> Es una tabla de resumen en la que se disponen los datos particionados en grupos ordenados numéricamente, denomin</w:t>
      </w:r>
      <w:r>
        <w:rPr>
          <w:rFonts w:ascii="Arial" w:hAnsi="Arial" w:cs="Arial"/>
        </w:rPr>
        <w:t>ados clases o categorías.  El número de datos u observaciones que pertenecen a determinada clase se llama frecuencia de clase, el punto medio de cada clase o categoría se llama marca de clase y la longitud de una clase se conoce como intervalo de clase.</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bCs/>
        </w:rPr>
        <w:t>La frecuencia absoluta.-</w:t>
      </w:r>
      <w:r>
        <w:rPr>
          <w:rFonts w:ascii="Arial" w:hAnsi="Arial" w:cs="Arial"/>
        </w:rPr>
        <w:t xml:space="preserve"> Es el número o cantidad de observaciones que se encuentran comprendidas dentro de un determinado intervalo de clase; mientras la frecuencia relativa es el cociente que resulta de dividir la frecuencia absoluta de una clase para la</w:t>
      </w:r>
      <w:r>
        <w:rPr>
          <w:rFonts w:ascii="Arial" w:hAnsi="Arial" w:cs="Arial"/>
        </w:rPr>
        <w:t xml:space="preserve"> suma total de observaciones en todas las clases de una tabla de frecuencia.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Sangra2detindependiente"/>
      </w:pPr>
      <w:r>
        <w:t xml:space="preserve">Entre las principales medidas de “tendencia central”, a más de la media poblacional </w:t>
      </w:r>
      <w:r>
        <w:sym w:font="Symbol" w:char="F06D"/>
      </w:r>
      <w:r>
        <w:t>, ya definida, de una población tenemos: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8"/>
        </w:numPr>
        <w:spacing w:line="480" w:lineRule="auto"/>
        <w:jc w:val="both"/>
        <w:rPr>
          <w:rFonts w:ascii="Arial" w:hAnsi="Arial" w:cs="Arial"/>
        </w:rPr>
      </w:pPr>
      <w:r>
        <w:rPr>
          <w:rFonts w:ascii="Arial" w:hAnsi="Arial" w:cs="Arial"/>
          <w:b/>
          <w:bCs/>
        </w:rPr>
        <w:t xml:space="preserve">Mediana poblacional </w:t>
      </w:r>
      <w:r>
        <w:rPr>
          <w:rFonts w:ascii="Arial" w:hAnsi="Arial" w:cs="Arial"/>
        </w:rPr>
        <w:sym w:font="Symbol" w:char="F05B"/>
      </w:r>
      <w:r>
        <w:rPr>
          <w:rFonts w:ascii="Arial" w:hAnsi="Arial" w:cs="Arial"/>
          <w:position w:val="-6"/>
        </w:rPr>
        <w:object w:dxaOrig="220" w:dyaOrig="260">
          <v:shape id="_x0000_i1067" type="#_x0000_t75" style="width:11.25pt;height:12.75pt" o:ole="">
            <v:imagedata r:id="rId95" o:title=""/>
          </v:shape>
          <o:OLEObject Type="Embed" ProgID="Equation.3" ShapeID="_x0000_i1067" DrawAspect="Content" ObjectID="_1308036943" r:id="rId96"/>
        </w:object>
      </w:r>
      <w:r>
        <w:rPr>
          <w:rFonts w:ascii="Arial" w:hAnsi="Arial" w:cs="Arial"/>
        </w:rPr>
        <w:sym w:font="Symbol" w:char="F05D"/>
      </w:r>
      <w:r>
        <w:rPr>
          <w:rFonts w:ascii="Arial" w:hAnsi="Arial" w:cs="Arial"/>
        </w:rPr>
        <w:t xml:space="preserve"> .-</w:t>
      </w:r>
      <w:r>
        <w:rPr>
          <w:rFonts w:ascii="Arial" w:hAnsi="Arial" w:cs="Arial"/>
        </w:rPr>
        <w:t xml:space="preserve"> Cuando x es una variable aleatoria continua es el valor central X</w:t>
      </w:r>
      <w:r>
        <w:rPr>
          <w:rFonts w:ascii="Arial" w:hAnsi="Arial" w:cs="Arial"/>
          <w:position w:val="-12"/>
        </w:rPr>
        <w:object w:dxaOrig="260" w:dyaOrig="360">
          <v:shape id="_x0000_i1068" type="#_x0000_t75" style="width:12.75pt;height:18pt" o:ole="">
            <v:imagedata r:id="rId97" o:title=""/>
          </v:shape>
          <o:OLEObject Type="Embed" ProgID="Equation.3" ShapeID="_x0000_i1068" DrawAspect="Content" ObjectID="_1308036944" r:id="rId98"/>
        </w:object>
      </w:r>
      <w:r>
        <w:rPr>
          <w:rFonts w:ascii="Arial" w:hAnsi="Arial" w:cs="Arial"/>
        </w:rPr>
        <w:t xml:space="preserve">  de una distribución, esta media tiene la propiedad que el 50% de los datos son menores o iguales que él.  Se debe cumplir que:</w:t>
      </w:r>
    </w:p>
    <w:p w:rsidR="00000000" w:rsidRDefault="000E1CA1">
      <w:pPr>
        <w:spacing w:line="480" w:lineRule="auto"/>
        <w:ind w:left="902"/>
        <w:jc w:val="both"/>
        <w:rPr>
          <w:rFonts w:ascii="Arial" w:hAnsi="Arial" w:cs="Arial"/>
        </w:rPr>
      </w:pPr>
      <w:r>
        <w:rPr>
          <w:rFonts w:ascii="Arial" w:hAnsi="Arial" w:cs="Arial"/>
          <w:position w:val="-18"/>
        </w:rPr>
        <w:object w:dxaOrig="1700" w:dyaOrig="520">
          <v:shape id="_x0000_i1069" type="#_x0000_t75" style="width:84.75pt;height:26.25pt" o:ole="">
            <v:imagedata r:id="rId99" o:title=""/>
          </v:shape>
          <o:OLEObject Type="Embed" ProgID="Equation.3" ShapeID="_x0000_i1069" DrawAspect="Content" ObjectID="_1308036945" r:id="rId100"/>
        </w:object>
      </w:r>
    </w:p>
    <w:p w:rsidR="00000000" w:rsidRDefault="000E1CA1">
      <w:pPr>
        <w:spacing w:line="480" w:lineRule="auto"/>
        <w:ind w:left="902"/>
        <w:jc w:val="both"/>
        <w:rPr>
          <w:rFonts w:ascii="Arial" w:hAnsi="Arial" w:cs="Arial"/>
        </w:rPr>
      </w:pPr>
      <w:r>
        <w:rPr>
          <w:rFonts w:ascii="Arial" w:hAnsi="Arial" w:cs="Arial"/>
        </w:rPr>
        <w:t>Entre las prin</w:t>
      </w:r>
      <w:r>
        <w:rPr>
          <w:rFonts w:ascii="Arial" w:hAnsi="Arial" w:cs="Arial"/>
        </w:rPr>
        <w:t xml:space="preserve">cipales medidas de ”dispersión”, a más de la varianza poblacional </w:t>
      </w:r>
      <w:r>
        <w:rPr>
          <w:rFonts w:ascii="Arial" w:hAnsi="Arial" w:cs="Arial"/>
        </w:rPr>
        <w:sym w:font="Symbol" w:char="F073"/>
      </w:r>
      <w:r>
        <w:rPr>
          <w:rFonts w:ascii="Arial" w:hAnsi="Arial" w:cs="Arial"/>
          <w:position w:val="-4"/>
        </w:rPr>
        <w:object w:dxaOrig="160" w:dyaOrig="300">
          <v:shape id="_x0000_i1070" type="#_x0000_t75" style="width:8.25pt;height:15pt" o:ole="">
            <v:imagedata r:id="rId59" o:title=""/>
          </v:shape>
          <o:OLEObject Type="Embed" ProgID="Equation.3" ShapeID="_x0000_i1070" DrawAspect="Content" ObjectID="_1308036946" r:id="rId101"/>
        </w:object>
      </w:r>
      <w:r>
        <w:rPr>
          <w:rFonts w:ascii="Arial" w:hAnsi="Arial" w:cs="Arial"/>
        </w:rPr>
        <w:t>, ya definida tenemos: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8"/>
        </w:numPr>
        <w:spacing w:line="480" w:lineRule="auto"/>
        <w:jc w:val="both"/>
        <w:rPr>
          <w:rFonts w:ascii="Arial" w:hAnsi="Arial" w:cs="Arial"/>
        </w:rPr>
      </w:pPr>
      <w:r>
        <w:rPr>
          <w:rFonts w:ascii="Arial" w:hAnsi="Arial" w:cs="Arial"/>
          <w:b/>
          <w:bCs/>
        </w:rPr>
        <w:t>Desviación estándar poblacional</w:t>
      </w:r>
      <w:r>
        <w:rPr>
          <w:rFonts w:ascii="Arial" w:hAnsi="Arial" w:cs="Arial"/>
        </w:rPr>
        <w:t xml:space="preserve"> </w:t>
      </w:r>
      <w:r>
        <w:rPr>
          <w:rFonts w:ascii="Arial" w:hAnsi="Arial" w:cs="Arial"/>
        </w:rPr>
        <w:sym w:font="Symbol" w:char="F05B"/>
      </w:r>
      <w:r>
        <w:rPr>
          <w:rFonts w:ascii="Arial" w:hAnsi="Arial" w:cs="Arial"/>
        </w:rPr>
        <w:sym w:font="Symbol" w:char="F073"/>
      </w:r>
      <w:r>
        <w:rPr>
          <w:rFonts w:ascii="Arial" w:hAnsi="Arial" w:cs="Arial"/>
        </w:rPr>
        <w:sym w:font="Symbol" w:char="F05D"/>
      </w:r>
      <w:r>
        <w:rPr>
          <w:rFonts w:ascii="Arial" w:hAnsi="Arial" w:cs="Arial"/>
        </w:rPr>
        <w:t xml:space="preserve"> .- Mide la variabilidad de las observaciones alrededor de la media poblacional, es la raíz cuadrada posi</w:t>
      </w:r>
      <w:r>
        <w:rPr>
          <w:rFonts w:ascii="Arial" w:hAnsi="Arial" w:cs="Arial"/>
        </w:rPr>
        <w:t>tiva de la varianza;</w:t>
      </w:r>
    </w:p>
    <w:p w:rsidR="00000000" w:rsidRDefault="000E1CA1">
      <w:pPr>
        <w:spacing w:line="480" w:lineRule="auto"/>
        <w:ind w:left="902"/>
        <w:jc w:val="both"/>
        <w:rPr>
          <w:rFonts w:ascii="Arial" w:hAnsi="Arial" w:cs="Arial"/>
        </w:rPr>
      </w:pPr>
      <w:r>
        <w:rPr>
          <w:rFonts w:ascii="Arial" w:hAnsi="Arial" w:cs="Arial"/>
        </w:rPr>
        <w:sym w:font="Symbol" w:char="F073"/>
      </w:r>
      <w:r>
        <w:rPr>
          <w:rFonts w:ascii="Arial" w:hAnsi="Arial" w:cs="Arial"/>
        </w:rPr>
        <w:t xml:space="preserve"> = +</w:t>
      </w:r>
      <w:r>
        <w:rPr>
          <w:rFonts w:ascii="Arial" w:hAnsi="Arial" w:cs="Arial"/>
          <w:position w:val="-8"/>
        </w:rPr>
        <w:object w:dxaOrig="520" w:dyaOrig="380">
          <v:shape id="_x0000_i1071" type="#_x0000_t75" style="width:26.25pt;height:18.75pt" o:ole="">
            <v:imagedata r:id="rId102" o:title=""/>
          </v:shape>
          <o:OLEObject Type="Embed" ProgID="Equation.3" ShapeID="_x0000_i1071" DrawAspect="Content" ObjectID="_1308036947" r:id="rId103"/>
        </w:object>
      </w:r>
      <w:r>
        <w:rPr>
          <w:rFonts w:ascii="Arial" w:hAnsi="Arial" w:cs="Arial"/>
        </w:rPr>
        <w:t xml:space="preserve"> </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 xml:space="preserve">Sean X y Y  dos variables aleatorias conjuntas, es decir que son tomadas del mismo espacio probabilidad, con media </w:t>
      </w:r>
      <w:r>
        <w:rPr>
          <w:rFonts w:ascii="Arial" w:hAnsi="Arial" w:cs="Arial"/>
          <w:position w:val="-12"/>
        </w:rPr>
        <w:object w:dxaOrig="300" w:dyaOrig="360">
          <v:shape id="_x0000_i1072" type="#_x0000_t75" style="width:15pt;height:18pt" o:ole="">
            <v:imagedata r:id="rId104" o:title=""/>
          </v:shape>
          <o:OLEObject Type="Embed" ProgID="Equation.3" ShapeID="_x0000_i1072" DrawAspect="Content" ObjectID="_1308036948" r:id="rId105"/>
        </w:object>
      </w:r>
      <w:r>
        <w:rPr>
          <w:rFonts w:ascii="Arial" w:hAnsi="Arial" w:cs="Arial"/>
        </w:rPr>
        <w:t xml:space="preserve"> y </w:t>
      </w:r>
      <w:r>
        <w:rPr>
          <w:rFonts w:ascii="Arial" w:hAnsi="Arial" w:cs="Arial"/>
          <w:position w:val="-14"/>
        </w:rPr>
        <w:object w:dxaOrig="320" w:dyaOrig="380">
          <v:shape id="_x0000_i1073" type="#_x0000_t75" style="width:15.75pt;height:18.75pt" o:ole="">
            <v:imagedata r:id="rId106" o:title=""/>
          </v:shape>
          <o:OLEObject Type="Embed" ProgID="Equation.3" ShapeID="_x0000_i1073" DrawAspect="Content" ObjectID="_1308036949" r:id="rId107"/>
        </w:object>
      </w:r>
      <w:r>
        <w:rPr>
          <w:rFonts w:ascii="Arial" w:hAnsi="Arial" w:cs="Arial"/>
        </w:rPr>
        <w:t xml:space="preserve"> respectivamente.  Se define la covari</w:t>
      </w:r>
      <w:r>
        <w:rPr>
          <w:rFonts w:ascii="Arial" w:hAnsi="Arial" w:cs="Arial"/>
        </w:rPr>
        <w:t>anza entre X y Y de la siguiente manera:</w:t>
      </w:r>
    </w:p>
    <w:p w:rsidR="00000000" w:rsidRDefault="000E1CA1">
      <w:pPr>
        <w:spacing w:line="480" w:lineRule="auto"/>
        <w:ind w:left="902"/>
        <w:jc w:val="both"/>
        <w:rPr>
          <w:rFonts w:ascii="Arial" w:hAnsi="Arial" w:cs="Arial"/>
          <w:sz w:val="16"/>
        </w:rPr>
      </w:pPr>
      <w:r>
        <w:rPr>
          <w:rFonts w:ascii="Arial" w:hAnsi="Arial" w:cs="Arial"/>
        </w:rPr>
        <w:t xml:space="preserve">Cov </w:t>
      </w:r>
      <w:r>
        <w:rPr>
          <w:rFonts w:ascii="Arial" w:hAnsi="Arial" w:cs="Arial"/>
        </w:rPr>
        <w:sym w:font="Symbol" w:char="F05B"/>
      </w:r>
      <w:r>
        <w:rPr>
          <w:rFonts w:ascii="Arial" w:hAnsi="Arial" w:cs="Arial"/>
        </w:rPr>
        <w:t xml:space="preserve"> x, y</w:t>
      </w:r>
      <w:r>
        <w:rPr>
          <w:rFonts w:ascii="Arial" w:hAnsi="Arial" w:cs="Arial"/>
        </w:rPr>
        <w:sym w:font="Symbol" w:char="F05D"/>
      </w:r>
      <w:r>
        <w:rPr>
          <w:rFonts w:ascii="Arial" w:hAnsi="Arial" w:cs="Arial"/>
        </w:rPr>
        <w:t xml:space="preserve">=  E </w:t>
      </w:r>
      <w:r>
        <w:rPr>
          <w:rFonts w:ascii="Arial" w:hAnsi="Arial" w:cs="Arial"/>
        </w:rPr>
        <w:sym w:font="Symbol" w:char="F05B"/>
      </w:r>
      <w:r>
        <w:rPr>
          <w:rFonts w:ascii="Arial" w:hAnsi="Arial" w:cs="Arial"/>
        </w:rPr>
        <w:t>(x -</w:t>
      </w:r>
      <w:r>
        <w:rPr>
          <w:rFonts w:ascii="Arial" w:hAnsi="Arial" w:cs="Arial"/>
          <w:position w:val="-12"/>
        </w:rPr>
        <w:object w:dxaOrig="300" w:dyaOrig="360">
          <v:shape id="_x0000_i1074" type="#_x0000_t75" style="width:15pt;height:18pt" o:ole="">
            <v:imagedata r:id="rId104" o:title=""/>
          </v:shape>
          <o:OLEObject Type="Embed" ProgID="Equation.3" ShapeID="_x0000_i1074" DrawAspect="Content" ObjectID="_1308036950" r:id="rId108"/>
        </w:object>
      </w:r>
      <w:r>
        <w:rPr>
          <w:rFonts w:ascii="Arial" w:hAnsi="Arial" w:cs="Arial"/>
        </w:rPr>
        <w:t xml:space="preserve">) (y - </w:t>
      </w:r>
      <w:r>
        <w:rPr>
          <w:rFonts w:ascii="Arial" w:hAnsi="Arial" w:cs="Arial"/>
          <w:position w:val="-14"/>
        </w:rPr>
        <w:object w:dxaOrig="320" w:dyaOrig="380">
          <v:shape id="_x0000_i1075" type="#_x0000_t75" style="width:15.75pt;height:18.75pt" o:ole="">
            <v:imagedata r:id="rId106" o:title=""/>
          </v:shape>
          <o:OLEObject Type="Embed" ProgID="Equation.3" ShapeID="_x0000_i1075" DrawAspect="Content" ObjectID="_1308036951" r:id="rId109"/>
        </w:object>
      </w:r>
      <w:r>
        <w:rPr>
          <w:rFonts w:ascii="Arial" w:hAnsi="Arial" w:cs="Arial"/>
        </w:rPr>
        <w:t>)</w:t>
      </w:r>
      <w:r>
        <w:rPr>
          <w:rFonts w:ascii="Arial" w:hAnsi="Arial" w:cs="Arial"/>
        </w:rPr>
        <w:sym w:font="Symbol" w:char="F05D"/>
      </w:r>
      <w:r>
        <w:rPr>
          <w:rFonts w:ascii="Arial" w:hAnsi="Arial" w:cs="Arial"/>
        </w:rPr>
        <w:t xml:space="preserve"> = </w:t>
      </w:r>
      <w:r>
        <w:rPr>
          <w:rFonts w:ascii="Arial" w:hAnsi="Arial" w:cs="Arial"/>
          <w:position w:val="-14"/>
        </w:rPr>
        <w:object w:dxaOrig="380" w:dyaOrig="380">
          <v:shape id="_x0000_i1076" type="#_x0000_t75" style="width:18.75pt;height:18.75pt" o:ole="">
            <v:imagedata r:id="rId110" o:title=""/>
          </v:shape>
          <o:OLEObject Type="Embed" ProgID="Equation.3" ShapeID="_x0000_i1076" DrawAspect="Content" ObjectID="_1308036952" r:id="rId111"/>
        </w:objec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De esta definición se puede demostrar que la covarianza de una variable aleatoria consigo misma, es la varian</w:t>
      </w:r>
      <w:r>
        <w:rPr>
          <w:rFonts w:ascii="Arial" w:hAnsi="Arial" w:cs="Arial"/>
        </w:rPr>
        <w:t>za de la variable aleatoria, esto es,</w:t>
      </w:r>
    </w:p>
    <w:p w:rsidR="00000000" w:rsidRDefault="000E1CA1">
      <w:pPr>
        <w:spacing w:line="480" w:lineRule="auto"/>
        <w:ind w:left="902"/>
        <w:jc w:val="both"/>
        <w:rPr>
          <w:rFonts w:ascii="Arial" w:hAnsi="Arial" w:cs="Arial"/>
          <w:sz w:val="16"/>
          <w:lang w:val="en-US"/>
        </w:rPr>
      </w:pPr>
      <w:r>
        <w:rPr>
          <w:rFonts w:ascii="Arial" w:hAnsi="Arial" w:cs="Arial"/>
          <w:lang w:val="en-US"/>
        </w:rPr>
        <w:t xml:space="preserve">Cov </w:t>
      </w:r>
      <w:r>
        <w:rPr>
          <w:rFonts w:ascii="Arial" w:hAnsi="Arial" w:cs="Arial"/>
        </w:rPr>
        <w:sym w:font="Symbol" w:char="F05B"/>
      </w:r>
      <w:r>
        <w:rPr>
          <w:rFonts w:ascii="Arial" w:hAnsi="Arial" w:cs="Arial"/>
          <w:lang w:val="en-US"/>
        </w:rPr>
        <w:t xml:space="preserve"> x, x</w:t>
      </w:r>
      <w:r>
        <w:rPr>
          <w:rFonts w:ascii="Arial" w:hAnsi="Arial" w:cs="Arial"/>
        </w:rPr>
        <w:sym w:font="Symbol" w:char="F05D"/>
      </w:r>
      <w:r>
        <w:rPr>
          <w:rFonts w:ascii="Arial" w:hAnsi="Arial" w:cs="Arial"/>
          <w:lang w:val="en-US"/>
        </w:rPr>
        <w:t xml:space="preserve">= </w:t>
      </w:r>
      <w:r>
        <w:rPr>
          <w:rFonts w:ascii="Arial" w:hAnsi="Arial" w:cs="Arial"/>
          <w:position w:val="-12"/>
          <w:lang w:val="en-US"/>
        </w:rPr>
        <w:object w:dxaOrig="900" w:dyaOrig="380">
          <v:shape id="_x0000_i1077" type="#_x0000_t75" style="width:45pt;height:18.75pt" o:ole="">
            <v:imagedata r:id="rId112" o:title=""/>
          </v:shape>
          <o:OLEObject Type="Embed" ProgID="Equation.3" ShapeID="_x0000_i1077" DrawAspect="Content" ObjectID="_1308036953" r:id="rId113"/>
        </w:object>
      </w:r>
    </w:p>
    <w:p w:rsidR="00000000" w:rsidRDefault="000E1CA1">
      <w:pPr>
        <w:ind w:left="902"/>
        <w:jc w:val="both"/>
        <w:rPr>
          <w:rFonts w:ascii="Arial" w:hAnsi="Arial" w:cs="Arial"/>
          <w:lang w:val="en-US"/>
        </w:rPr>
      </w:pPr>
    </w:p>
    <w:p w:rsidR="00000000" w:rsidRDefault="000E1CA1">
      <w:pPr>
        <w:ind w:left="902"/>
        <w:jc w:val="both"/>
        <w:rPr>
          <w:rFonts w:ascii="Arial" w:hAnsi="Arial" w:cs="Arial"/>
          <w:lang w:val="en-US"/>
        </w:rPr>
      </w:pPr>
    </w:p>
    <w:p w:rsidR="00000000" w:rsidRDefault="000E1CA1">
      <w:pPr>
        <w:ind w:left="902"/>
        <w:jc w:val="both"/>
        <w:rPr>
          <w:rFonts w:ascii="Arial" w:hAnsi="Arial" w:cs="Arial"/>
          <w:lang w:val="en-US"/>
        </w:rPr>
      </w:pPr>
    </w:p>
    <w:p w:rsidR="00000000" w:rsidRDefault="000E1CA1">
      <w:pPr>
        <w:spacing w:line="480" w:lineRule="auto"/>
        <w:ind w:left="902"/>
        <w:jc w:val="both"/>
        <w:rPr>
          <w:rFonts w:ascii="Arial" w:hAnsi="Arial" w:cs="Arial"/>
        </w:rPr>
      </w:pPr>
      <w:r>
        <w:rPr>
          <w:rFonts w:ascii="Arial" w:hAnsi="Arial" w:cs="Arial"/>
        </w:rPr>
        <w:t>Una medida de relación lineal de dos variables aleatoria X y Y está dada por el coeficiente de correlación:</w:t>
      </w:r>
    </w:p>
    <w:p w:rsidR="00000000" w:rsidRDefault="000E1CA1">
      <w:pPr>
        <w:spacing w:line="480" w:lineRule="auto"/>
        <w:ind w:left="902"/>
        <w:jc w:val="center"/>
        <w:rPr>
          <w:rFonts w:ascii="Arial" w:hAnsi="Arial" w:cs="Arial"/>
        </w:rPr>
      </w:pPr>
      <w:r>
        <w:rPr>
          <w:rFonts w:ascii="Arial" w:hAnsi="Arial" w:cs="Arial"/>
          <w:position w:val="-34"/>
        </w:rPr>
        <w:object w:dxaOrig="1359" w:dyaOrig="720">
          <v:shape id="_x0000_i1078" type="#_x0000_t75" style="width:68.25pt;height:36pt" o:ole="">
            <v:imagedata r:id="rId114" o:title=""/>
          </v:shape>
          <o:OLEObject Type="Embed" ProgID="Equation.3" ShapeID="_x0000_i1078" DrawAspect="Content" ObjectID="_1308036954" r:id="rId115"/>
        </w:obje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Se puede probar que  -1 </w:t>
      </w:r>
      <w:r>
        <w:rPr>
          <w:rFonts w:ascii="Arial" w:hAnsi="Arial" w:cs="Arial"/>
        </w:rPr>
        <w:sym w:font="Symbol" w:char="F0A3"/>
      </w:r>
      <w:r>
        <w:rPr>
          <w:rFonts w:ascii="Arial" w:hAnsi="Arial" w:cs="Arial"/>
        </w:rPr>
        <w:t xml:space="preserve"> </w:t>
      </w:r>
      <w:r>
        <w:rPr>
          <w:rFonts w:ascii="Arial" w:hAnsi="Arial" w:cs="Arial"/>
        </w:rPr>
        <w:sym w:font="Symbol" w:char="F072"/>
      </w:r>
      <w:r>
        <w:rPr>
          <w:rFonts w:ascii="Arial" w:hAnsi="Arial" w:cs="Arial"/>
        </w:rPr>
        <w:t xml:space="preserve"> </w:t>
      </w:r>
      <w:r>
        <w:rPr>
          <w:rFonts w:ascii="Arial" w:hAnsi="Arial" w:cs="Arial"/>
        </w:rPr>
        <w:sym w:font="Symbol" w:char="F0A3"/>
      </w:r>
      <w:r>
        <w:rPr>
          <w:rFonts w:ascii="Arial" w:hAnsi="Arial" w:cs="Arial"/>
        </w:rPr>
        <w:t xml:space="preserve"> 1</w:t>
      </w:r>
    </w:p>
    <w:p w:rsidR="00000000" w:rsidRDefault="000E1CA1">
      <w:pPr>
        <w:spacing w:line="480" w:lineRule="auto"/>
        <w:ind w:left="902"/>
        <w:jc w:val="both"/>
        <w:rPr>
          <w:rFonts w:ascii="Arial" w:hAnsi="Arial" w:cs="Arial"/>
        </w:rPr>
      </w:pPr>
      <w:r>
        <w:rPr>
          <w:rFonts w:ascii="Arial" w:hAnsi="Arial" w:cs="Arial"/>
        </w:rPr>
        <w:t>Además cumple</w:t>
      </w:r>
      <w:r>
        <w:rPr>
          <w:rFonts w:ascii="Arial" w:hAnsi="Arial" w:cs="Arial"/>
        </w:rPr>
        <w:t xml:space="preserve"> con las siguiente propiedades:</w:t>
      </w:r>
    </w:p>
    <w:p w:rsidR="00000000" w:rsidRDefault="000E1CA1" w:rsidP="000E1CA1">
      <w:pPr>
        <w:numPr>
          <w:ilvl w:val="0"/>
          <w:numId w:val="19"/>
        </w:numPr>
        <w:spacing w:line="480" w:lineRule="auto"/>
        <w:jc w:val="both"/>
        <w:rPr>
          <w:rFonts w:ascii="Arial" w:hAnsi="Arial" w:cs="Arial"/>
        </w:rPr>
      </w:pPr>
      <w:r>
        <w:rPr>
          <w:rFonts w:ascii="Arial" w:hAnsi="Arial" w:cs="Arial"/>
        </w:rPr>
        <w:t xml:space="preserve">Si X y Y son dependientes, entonces </w:t>
      </w:r>
      <w:r>
        <w:rPr>
          <w:rFonts w:ascii="Arial" w:hAnsi="Arial" w:cs="Arial"/>
        </w:rPr>
        <w:sym w:font="Symbol" w:char="F072"/>
      </w:r>
      <w:r>
        <w:rPr>
          <w:rFonts w:ascii="Arial" w:hAnsi="Arial" w:cs="Arial"/>
        </w:rPr>
        <w:t xml:space="preserve"> = 0  </w:t>
      </w:r>
    </w:p>
    <w:p w:rsidR="00000000" w:rsidRDefault="000E1CA1" w:rsidP="000E1CA1">
      <w:pPr>
        <w:numPr>
          <w:ilvl w:val="0"/>
          <w:numId w:val="19"/>
        </w:numPr>
        <w:spacing w:line="480" w:lineRule="auto"/>
        <w:jc w:val="both"/>
        <w:rPr>
          <w:rFonts w:ascii="Arial" w:hAnsi="Arial" w:cs="Arial"/>
        </w:rPr>
      </w:pPr>
      <w:r>
        <w:rPr>
          <w:rFonts w:ascii="Arial" w:hAnsi="Arial" w:cs="Arial"/>
        </w:rPr>
        <w:t xml:space="preserve">Si X = Y entonces  </w:t>
      </w:r>
      <w:r>
        <w:rPr>
          <w:rFonts w:ascii="Arial" w:hAnsi="Arial" w:cs="Arial"/>
        </w:rPr>
        <w:sym w:font="Symbol" w:char="F072"/>
      </w:r>
      <w:r>
        <w:rPr>
          <w:rFonts w:ascii="Arial" w:hAnsi="Arial" w:cs="Arial"/>
        </w:rPr>
        <w:t xml:space="preserve"> = 1  </w:t>
      </w:r>
    </w:p>
    <w:p w:rsidR="00000000" w:rsidRDefault="000E1CA1" w:rsidP="000E1CA1">
      <w:pPr>
        <w:numPr>
          <w:ilvl w:val="0"/>
          <w:numId w:val="19"/>
        </w:numPr>
        <w:spacing w:line="480" w:lineRule="auto"/>
        <w:jc w:val="both"/>
        <w:rPr>
          <w:rFonts w:ascii="Arial" w:hAnsi="Arial" w:cs="Arial"/>
        </w:rPr>
      </w:pPr>
      <w:r>
        <w:rPr>
          <w:rFonts w:ascii="Arial" w:hAnsi="Arial" w:cs="Arial"/>
        </w:rPr>
        <w:t xml:space="preserve">Si </w:t>
      </w:r>
      <w:r>
        <w:rPr>
          <w:rFonts w:ascii="Arial" w:hAnsi="Arial" w:cs="Arial"/>
        </w:rPr>
        <w:sym w:font="Symbol" w:char="F072"/>
      </w:r>
      <w:r>
        <w:rPr>
          <w:rFonts w:ascii="Arial" w:hAnsi="Arial" w:cs="Arial"/>
        </w:rPr>
        <w:t xml:space="preserve"> = 0 se dice que las varianzas aleatorias X y Y no están correlacionadas.</w:t>
      </w:r>
    </w:p>
    <w:p w:rsidR="00000000" w:rsidRDefault="000E1CA1">
      <w:pPr>
        <w:jc w:val="both"/>
        <w:rPr>
          <w:rFonts w:ascii="Arial" w:hAnsi="Arial" w:cs="Arial"/>
        </w:rPr>
      </w:pPr>
    </w:p>
    <w:p w:rsidR="00000000" w:rsidRDefault="000E1CA1" w:rsidP="000E1CA1">
      <w:pPr>
        <w:numPr>
          <w:ilvl w:val="0"/>
          <w:numId w:val="18"/>
        </w:numPr>
        <w:spacing w:line="480" w:lineRule="auto"/>
        <w:jc w:val="both"/>
        <w:rPr>
          <w:rFonts w:ascii="Arial" w:hAnsi="Arial" w:cs="Arial"/>
        </w:rPr>
      </w:pPr>
      <w:r>
        <w:rPr>
          <w:rFonts w:ascii="Arial" w:hAnsi="Arial" w:cs="Arial"/>
          <w:b/>
          <w:bCs/>
        </w:rPr>
        <w:t>Coeficiente de sesgo.-</w:t>
      </w:r>
      <w:r>
        <w:rPr>
          <w:rFonts w:ascii="Arial" w:hAnsi="Arial" w:cs="Arial"/>
        </w:rPr>
        <w:t xml:space="preserve">  Describe la “simetría” de los datos alrededor de m</w:t>
      </w:r>
      <w:r>
        <w:rPr>
          <w:rFonts w:ascii="Arial" w:hAnsi="Arial" w:cs="Arial"/>
        </w:rPr>
        <w:t>edia, tenemos tres casos, sesgada a la izquierda, es decir, el coeficiente de sesgo es negativo por lo tanto la media es menor que la mediana; sesgada a la derecha, el coeficiente de sesgo es positivo y la media es mayor que la mediana y simétrica cuando e</w:t>
      </w:r>
      <w:r>
        <w:rPr>
          <w:rFonts w:ascii="Arial" w:hAnsi="Arial" w:cs="Arial"/>
        </w:rPr>
        <w:t xml:space="preserve">l coeficiente de sesgo es cero, entonces la media y la mediana son iguales.  Para determinar el coeficiente de sesgo se calcula el tercer momento con respecto a la media </w:t>
      </w:r>
      <w:r>
        <w:rPr>
          <w:rFonts w:ascii="Arial" w:hAnsi="Arial" w:cs="Arial"/>
        </w:rPr>
        <w:sym w:font="Symbol" w:char="F06D"/>
      </w:r>
      <w:r>
        <w:rPr>
          <w:rFonts w:ascii="Arial" w:hAnsi="Arial" w:cs="Arial"/>
        </w:rPr>
        <w:t>3, definido de la siguiente manera:</w:t>
      </w:r>
    </w:p>
    <w:p w:rsidR="00000000" w:rsidRDefault="000E1CA1">
      <w:pPr>
        <w:spacing w:line="480" w:lineRule="auto"/>
        <w:ind w:left="902"/>
        <w:jc w:val="center"/>
        <w:rPr>
          <w:rFonts w:ascii="Arial" w:hAnsi="Arial" w:cs="Arial"/>
        </w:rPr>
      </w:pPr>
      <w:r>
        <w:rPr>
          <w:rFonts w:ascii="Arial" w:hAnsi="Arial" w:cs="Arial"/>
          <w:position w:val="-24"/>
        </w:rPr>
        <w:object w:dxaOrig="859" w:dyaOrig="620">
          <v:shape id="_x0000_i1079" type="#_x0000_t75" style="width:42.75pt;height:30.75pt" o:ole="">
            <v:imagedata r:id="rId116" o:title=""/>
          </v:shape>
          <o:OLEObject Type="Embed" ProgID="Equation.3" ShapeID="_x0000_i1079" DrawAspect="Content" ObjectID="_1308036955" r:id="rId117"/>
        </w:object>
      </w:r>
    </w:p>
    <w:p w:rsidR="00000000" w:rsidRDefault="000E1CA1" w:rsidP="000E1CA1">
      <w:pPr>
        <w:numPr>
          <w:ilvl w:val="0"/>
          <w:numId w:val="18"/>
        </w:numPr>
        <w:spacing w:line="480" w:lineRule="auto"/>
        <w:jc w:val="both"/>
        <w:rPr>
          <w:rFonts w:ascii="Arial" w:hAnsi="Arial" w:cs="Arial"/>
        </w:rPr>
      </w:pPr>
      <w:r>
        <w:rPr>
          <w:rFonts w:ascii="Arial" w:hAnsi="Arial" w:cs="Arial"/>
          <w:b/>
          <w:bCs/>
        </w:rPr>
        <w:t>Coeficiente de kurtosis</w:t>
      </w:r>
      <w:r>
        <w:rPr>
          <w:rFonts w:ascii="Arial" w:hAnsi="Arial" w:cs="Arial"/>
        </w:rPr>
        <w:t>.-</w:t>
      </w:r>
      <w:r>
        <w:rPr>
          <w:rFonts w:ascii="Arial" w:hAnsi="Arial" w:cs="Arial"/>
        </w:rPr>
        <w:t xml:space="preserve">  Es una medida relativa, que permite establecer el grado de achatamiento de la curva de la distribución, en general por referencia a la distribución normal.  Al igual que el coeficiente del sesgo se presentan tres casos; si tiene un pico alto que la norma</w:t>
      </w:r>
      <w:r>
        <w:rPr>
          <w:rFonts w:ascii="Arial" w:hAnsi="Arial" w:cs="Arial"/>
        </w:rPr>
        <w:t>l se dice leptocúrtica, mientras si es más achatada con respecto a una normal se dice platicúrtica.  La distribución que no es muy puntiaguda ni muy aplastada y que se asemeje a la normal se llama mesocúrtica.  Para determinar el coeficiente de kurtosis se</w:t>
      </w:r>
      <w:r>
        <w:rPr>
          <w:rFonts w:ascii="Arial" w:hAnsi="Arial" w:cs="Arial"/>
        </w:rPr>
        <w:t xml:space="preserve"> calcula  el cuarto momento con respecto a la media    , definido de la siguiente manera:</w:t>
      </w:r>
    </w:p>
    <w:p w:rsidR="00000000" w:rsidRDefault="000E1CA1">
      <w:pPr>
        <w:spacing w:line="480" w:lineRule="auto"/>
        <w:ind w:left="902"/>
        <w:jc w:val="center"/>
        <w:rPr>
          <w:rFonts w:ascii="Arial" w:hAnsi="Arial" w:cs="Arial"/>
        </w:rPr>
      </w:pPr>
      <w:r>
        <w:rPr>
          <w:rFonts w:ascii="Arial" w:hAnsi="Arial" w:cs="Arial"/>
          <w:position w:val="-24"/>
        </w:rPr>
        <w:object w:dxaOrig="880" w:dyaOrig="620">
          <v:shape id="_x0000_i1080" type="#_x0000_t75" style="width:44.25pt;height:30.75pt" o:ole="">
            <v:imagedata r:id="rId118" o:title=""/>
          </v:shape>
          <o:OLEObject Type="Embed" ProgID="Equation.3" ShapeID="_x0000_i1080" DrawAspect="Content" ObjectID="_1308036956" r:id="rId119"/>
        </w:object>
      </w:r>
    </w:p>
    <w:p w:rsidR="00000000" w:rsidRDefault="000E1CA1">
      <w:pPr>
        <w:tabs>
          <w:tab w:val="left" w:pos="1260"/>
        </w:tabs>
        <w:spacing w:line="480" w:lineRule="auto"/>
        <w:ind w:left="902"/>
        <w:jc w:val="both"/>
        <w:rPr>
          <w:rFonts w:ascii="Arial" w:hAnsi="Arial" w:cs="Arial"/>
          <w:b/>
          <w:bCs/>
        </w:rPr>
      </w:pPr>
      <w:r>
        <w:rPr>
          <w:rFonts w:ascii="Arial" w:hAnsi="Arial" w:cs="Arial"/>
          <w:b/>
          <w:bCs/>
        </w:rPr>
        <w:t>3.2.2  Estadística Inferencial</w:t>
      </w:r>
    </w:p>
    <w:p w:rsidR="00000000" w:rsidRDefault="000E1CA1">
      <w:pPr>
        <w:pStyle w:val="Sangradetextonormal"/>
        <w:spacing w:line="480" w:lineRule="auto"/>
        <w:ind w:left="851"/>
      </w:pPr>
      <w:r>
        <w:t>Una vez que se han descrito las características de la población, procedemos a realizar inferencias sobre los pa</w:t>
      </w:r>
      <w:r>
        <w:t>rámetros desconocidos que es lo que se conoce como Estadística Inferencial.</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Sangradetextonormal"/>
        <w:spacing w:line="480" w:lineRule="auto"/>
        <w:ind w:left="902"/>
      </w:pPr>
      <w:r>
        <w:t>En la inferencia estadística se destacan dos grandes áreas: estimación de intervalos y pruebas de hipótesis, las cuales se aplican para verificar si las conjeturas planteadas co</w:t>
      </w:r>
      <w:r>
        <w:t>n respecto a los parámetros o la distribución de la población son ciertas.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8"/>
        </w:numPr>
        <w:spacing w:line="480" w:lineRule="auto"/>
        <w:jc w:val="both"/>
        <w:rPr>
          <w:rFonts w:ascii="Arial" w:hAnsi="Arial" w:cs="Arial"/>
        </w:rPr>
      </w:pPr>
      <w:r>
        <w:rPr>
          <w:rFonts w:ascii="Arial" w:hAnsi="Arial" w:cs="Arial"/>
          <w:b/>
          <w:bCs/>
        </w:rPr>
        <w:t>Estimación de intervalo.-</w:t>
      </w:r>
      <w:r>
        <w:rPr>
          <w:rFonts w:ascii="Arial" w:hAnsi="Arial" w:cs="Arial"/>
        </w:rPr>
        <w:t xml:space="preserve">  Una estimación de un intervalo de un parámetro </w:t>
      </w:r>
      <w:r>
        <w:rPr>
          <w:rFonts w:ascii="Arial" w:hAnsi="Arial" w:cs="Arial"/>
        </w:rPr>
        <w:sym w:font="Symbol" w:char="F071"/>
      </w:r>
      <w:r>
        <w:rPr>
          <w:rFonts w:ascii="Arial" w:hAnsi="Arial" w:cs="Arial"/>
        </w:rPr>
        <w:t xml:space="preserve"> es un intervalo de la forma </w:t>
      </w:r>
      <w:r>
        <w:rPr>
          <w:rFonts w:ascii="Arial" w:hAnsi="Arial" w:cs="Arial"/>
          <w:position w:val="-10"/>
        </w:rPr>
        <w:object w:dxaOrig="240" w:dyaOrig="360">
          <v:shape id="_x0000_i1081" type="#_x0000_t75" style="width:12pt;height:18pt" o:ole="">
            <v:imagedata r:id="rId120" o:title=""/>
          </v:shape>
          <o:OLEObject Type="Embed" ProgID="Equation.3" ShapeID="_x0000_i1081" DrawAspect="Content" ObjectID="_1308036957" r:id="rId121"/>
        </w:object>
      </w:r>
      <w:r>
        <w:rPr>
          <w:rFonts w:ascii="Arial" w:hAnsi="Arial" w:cs="Arial"/>
        </w:rPr>
        <w:t xml:space="preserve"> </w:t>
      </w:r>
      <w:r>
        <w:rPr>
          <w:rFonts w:ascii="Arial" w:hAnsi="Arial" w:cs="Arial"/>
        </w:rPr>
        <w:sym w:font="Symbol" w:char="F03C"/>
      </w:r>
      <w:r>
        <w:rPr>
          <w:rFonts w:ascii="Arial" w:hAnsi="Arial" w:cs="Arial"/>
        </w:rPr>
        <w:t xml:space="preserve"> </w:t>
      </w:r>
      <w:r>
        <w:rPr>
          <w:rFonts w:ascii="Arial" w:hAnsi="Arial" w:cs="Arial"/>
          <w:position w:val="-6"/>
        </w:rPr>
        <w:object w:dxaOrig="200" w:dyaOrig="320">
          <v:shape id="_x0000_i1082" type="#_x0000_t75" style="width:10.5pt;height:15.75pt" o:ole="">
            <v:imagedata r:id="rId122" o:title=""/>
          </v:shape>
          <o:OLEObject Type="Embed" ProgID="Equation.3" ShapeID="_x0000_i1082" DrawAspect="Content" ObjectID="_1308036958" r:id="rId123"/>
        </w:object>
      </w:r>
      <w:r>
        <w:rPr>
          <w:rFonts w:ascii="Arial" w:hAnsi="Arial" w:cs="Arial"/>
        </w:rPr>
        <w:t xml:space="preserve"> </w:t>
      </w:r>
      <w:r>
        <w:rPr>
          <w:rFonts w:ascii="Arial" w:hAnsi="Arial" w:cs="Arial"/>
        </w:rPr>
        <w:sym w:font="Symbol" w:char="F03C"/>
      </w:r>
      <w:r>
        <w:rPr>
          <w:rFonts w:ascii="Arial" w:hAnsi="Arial" w:cs="Arial"/>
        </w:rPr>
        <w:t xml:space="preserve"> </w:t>
      </w:r>
      <w:r>
        <w:rPr>
          <w:rFonts w:ascii="Arial" w:hAnsi="Arial" w:cs="Arial"/>
          <w:position w:val="-10"/>
        </w:rPr>
        <w:object w:dxaOrig="260" w:dyaOrig="360">
          <v:shape id="_x0000_i1083" type="#_x0000_t75" style="width:12.75pt;height:18pt" o:ole="">
            <v:imagedata r:id="rId124" o:title=""/>
          </v:shape>
          <o:OLEObject Type="Embed" ProgID="Equation.3" ShapeID="_x0000_i1083" DrawAspect="Content" ObjectID="_1308036959" r:id="rId125"/>
        </w:object>
      </w:r>
      <w:r>
        <w:rPr>
          <w:rFonts w:ascii="Arial" w:hAnsi="Arial" w:cs="Arial"/>
        </w:rPr>
        <w:t xml:space="preserve"> , donde </w:t>
      </w:r>
      <w:r>
        <w:rPr>
          <w:rFonts w:ascii="Arial" w:hAnsi="Arial" w:cs="Arial"/>
          <w:position w:val="-10"/>
        </w:rPr>
        <w:object w:dxaOrig="240" w:dyaOrig="360">
          <v:shape id="_x0000_i1084" type="#_x0000_t75" style="width:12pt;height:18pt" o:ole="">
            <v:imagedata r:id="rId120" o:title=""/>
          </v:shape>
          <o:OLEObject Type="Embed" ProgID="Equation.3" ShapeID="_x0000_i1084" DrawAspect="Content" ObjectID="_1308036960" r:id="rId126"/>
        </w:object>
      </w:r>
      <w:r>
        <w:rPr>
          <w:rFonts w:ascii="Arial" w:hAnsi="Arial" w:cs="Arial"/>
        </w:rPr>
        <w:t xml:space="preserve"> y </w:t>
      </w:r>
      <w:r>
        <w:rPr>
          <w:rFonts w:ascii="Arial" w:hAnsi="Arial" w:cs="Arial"/>
          <w:position w:val="-10"/>
        </w:rPr>
        <w:object w:dxaOrig="260" w:dyaOrig="360">
          <v:shape id="_x0000_i1085" type="#_x0000_t75" style="width:12.75pt;height:18pt" o:ole="">
            <v:imagedata r:id="rId124" o:title=""/>
          </v:shape>
          <o:OLEObject Type="Embed" ProgID="Equation.3" ShapeID="_x0000_i1085" DrawAspect="Content" ObjectID="_1308036961" r:id="rId127"/>
        </w:object>
      </w:r>
      <w:r>
        <w:rPr>
          <w:rFonts w:ascii="Arial" w:hAnsi="Arial" w:cs="Arial"/>
        </w:rPr>
        <w:t xml:space="preserve">  dependen del valor que tome el estimador </w:t>
      </w:r>
      <w:r>
        <w:rPr>
          <w:rFonts w:ascii="Arial" w:hAnsi="Arial" w:cs="Arial"/>
          <w:position w:val="-6"/>
        </w:rPr>
        <w:object w:dxaOrig="200" w:dyaOrig="320">
          <v:shape id="_x0000_i1086" type="#_x0000_t75" style="width:10.5pt;height:15.75pt" o:ole="">
            <v:imagedata r:id="rId122" o:title=""/>
          </v:shape>
          <o:OLEObject Type="Embed" ProgID="Equation.3" ShapeID="_x0000_i1086" DrawAspect="Content" ObjectID="_1308036962" r:id="rId128"/>
        </w:object>
      </w:r>
      <w:r>
        <w:rPr>
          <w:rFonts w:ascii="Arial" w:hAnsi="Arial" w:cs="Arial"/>
        </w:rPr>
        <w:t xml:space="preserve"> en una muestra dada y también en la distribución muestral de </w:t>
      </w:r>
      <w:r>
        <w:rPr>
          <w:rFonts w:ascii="Arial" w:hAnsi="Arial" w:cs="Arial"/>
          <w:position w:val="-6"/>
        </w:rPr>
        <w:object w:dxaOrig="200" w:dyaOrig="320">
          <v:shape id="_x0000_i1087" type="#_x0000_t75" style="width:10.5pt;height:15.75pt" o:ole="">
            <v:imagedata r:id="rId122" o:title=""/>
          </v:shape>
          <o:OLEObject Type="Embed" ProgID="Equation.3" ShapeID="_x0000_i1087" DrawAspect="Content" ObjectID="_1308036963" r:id="rId129"/>
        </w:object>
      </w:r>
      <w:r>
        <w:rPr>
          <w:rFonts w:ascii="Arial" w:hAnsi="Arial" w:cs="Arial"/>
        </w:rPr>
        <w: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Este intervalo </w:t>
      </w:r>
      <w:r>
        <w:rPr>
          <w:rFonts w:ascii="Arial" w:hAnsi="Arial" w:cs="Arial"/>
          <w:position w:val="-10"/>
        </w:rPr>
        <w:object w:dxaOrig="240" w:dyaOrig="360">
          <v:shape id="_x0000_i1088" type="#_x0000_t75" style="width:12pt;height:18pt" o:ole="">
            <v:imagedata r:id="rId120" o:title=""/>
          </v:shape>
          <o:OLEObject Type="Embed" ProgID="Equation.3" ShapeID="_x0000_i1088" DrawAspect="Content" ObjectID="_1308036964" r:id="rId130"/>
        </w:object>
      </w:r>
      <w:r>
        <w:rPr>
          <w:rFonts w:ascii="Arial" w:hAnsi="Arial" w:cs="Arial"/>
        </w:rPr>
        <w:t xml:space="preserve"> </w:t>
      </w:r>
      <w:r>
        <w:rPr>
          <w:rFonts w:ascii="Arial" w:hAnsi="Arial" w:cs="Arial"/>
        </w:rPr>
        <w:sym w:font="Symbol" w:char="F03C"/>
      </w:r>
      <w:r>
        <w:rPr>
          <w:rFonts w:ascii="Arial" w:hAnsi="Arial" w:cs="Arial"/>
        </w:rPr>
        <w:t xml:space="preserve"> </w:t>
      </w:r>
      <w:r>
        <w:rPr>
          <w:rFonts w:ascii="Arial" w:hAnsi="Arial" w:cs="Arial"/>
          <w:position w:val="-6"/>
        </w:rPr>
        <w:object w:dxaOrig="200" w:dyaOrig="320">
          <v:shape id="_x0000_i1089" type="#_x0000_t75" style="width:10.5pt;height:15.75pt" o:ole="">
            <v:imagedata r:id="rId122" o:title=""/>
          </v:shape>
          <o:OLEObject Type="Embed" ProgID="Equation.3" ShapeID="_x0000_i1089" DrawAspect="Content" ObjectID="_1308036965" r:id="rId131"/>
        </w:object>
      </w:r>
      <w:r>
        <w:rPr>
          <w:rFonts w:ascii="Arial" w:hAnsi="Arial" w:cs="Arial"/>
        </w:rPr>
        <w:t xml:space="preserve"> </w:t>
      </w:r>
      <w:r>
        <w:rPr>
          <w:rFonts w:ascii="Arial" w:hAnsi="Arial" w:cs="Arial"/>
        </w:rPr>
        <w:sym w:font="Symbol" w:char="F03C"/>
      </w:r>
      <w:r>
        <w:rPr>
          <w:rFonts w:ascii="Arial" w:hAnsi="Arial" w:cs="Arial"/>
        </w:rPr>
        <w:t xml:space="preserve"> </w:t>
      </w:r>
      <w:r>
        <w:rPr>
          <w:rFonts w:ascii="Arial" w:hAnsi="Arial" w:cs="Arial"/>
          <w:position w:val="-10"/>
        </w:rPr>
        <w:object w:dxaOrig="260" w:dyaOrig="360">
          <v:shape id="_x0000_i1090" type="#_x0000_t75" style="width:12.75pt;height:18pt" o:ole="">
            <v:imagedata r:id="rId124" o:title=""/>
          </v:shape>
          <o:OLEObject Type="Embed" ProgID="Equation.3" ShapeID="_x0000_i1090" DrawAspect="Content" ObjectID="_1308036966" r:id="rId132"/>
        </w:object>
      </w:r>
      <w:r>
        <w:rPr>
          <w:rFonts w:ascii="Arial" w:hAnsi="Arial" w:cs="Arial"/>
        </w:rPr>
        <w:t xml:space="preserve"> determinado en relación con una muestra en particular, recibe el nombre de intervalo de confianza del ( 1 - </w:t>
      </w:r>
      <w:r>
        <w:rPr>
          <w:rFonts w:ascii="Arial" w:hAnsi="Arial" w:cs="Arial"/>
        </w:rPr>
        <w:sym w:font="Symbol" w:char="F061"/>
      </w:r>
      <w:r>
        <w:rPr>
          <w:rFonts w:ascii="Arial" w:hAnsi="Arial" w:cs="Arial"/>
        </w:rPr>
        <w:t xml:space="preserve">) 100%, la fracción  1 - </w:t>
      </w:r>
      <w:r>
        <w:rPr>
          <w:rFonts w:ascii="Arial" w:hAnsi="Arial" w:cs="Arial"/>
        </w:rPr>
        <w:sym w:font="Symbol" w:char="F061"/>
      </w:r>
      <w:r>
        <w:rPr>
          <w:rFonts w:ascii="Arial" w:hAnsi="Arial" w:cs="Arial"/>
        </w:rPr>
        <w:t xml:space="preserve"> se conoce como grado de confianza y los extremos </w:t>
      </w:r>
      <w:r>
        <w:rPr>
          <w:rFonts w:ascii="Arial" w:hAnsi="Arial" w:cs="Arial"/>
          <w:position w:val="-10"/>
        </w:rPr>
        <w:object w:dxaOrig="240" w:dyaOrig="360">
          <v:shape id="_x0000_i1091" type="#_x0000_t75" style="width:12pt;height:18pt" o:ole="">
            <v:imagedata r:id="rId120" o:title=""/>
          </v:shape>
          <o:OLEObject Type="Embed" ProgID="Equation.3" ShapeID="_x0000_i1091" DrawAspect="Content" ObjectID="_1308036967" r:id="rId133"/>
        </w:object>
      </w:r>
      <w:r>
        <w:rPr>
          <w:rFonts w:ascii="Arial" w:hAnsi="Arial" w:cs="Arial"/>
        </w:rPr>
        <w:t xml:space="preserve"> y </w:t>
      </w:r>
      <w:r>
        <w:rPr>
          <w:rFonts w:ascii="Arial" w:hAnsi="Arial" w:cs="Arial"/>
          <w:position w:val="-10"/>
        </w:rPr>
        <w:object w:dxaOrig="260" w:dyaOrig="360">
          <v:shape id="_x0000_i1092" type="#_x0000_t75" style="width:12.75pt;height:18pt" o:ole="">
            <v:imagedata r:id="rId124" o:title=""/>
          </v:shape>
          <o:OLEObject Type="Embed" ProgID="Equation.3" ShapeID="_x0000_i1092" DrawAspect="Content" ObjectID="_1308036968" r:id="rId134"/>
        </w:object>
      </w:r>
      <w:r>
        <w:rPr>
          <w:rFonts w:ascii="Arial" w:hAnsi="Arial" w:cs="Arial"/>
        </w:rPr>
        <w:t xml:space="preserve"> reciben el nombre de límites de confianza inferior y superior.</w:t>
      </w:r>
    </w:p>
    <w:p w:rsidR="00000000" w:rsidRDefault="000E1CA1" w:rsidP="000E1CA1">
      <w:pPr>
        <w:numPr>
          <w:ilvl w:val="0"/>
          <w:numId w:val="18"/>
        </w:numPr>
        <w:spacing w:line="480" w:lineRule="auto"/>
        <w:jc w:val="both"/>
        <w:rPr>
          <w:rFonts w:ascii="Arial" w:hAnsi="Arial" w:cs="Arial"/>
        </w:rPr>
      </w:pPr>
      <w:r>
        <w:rPr>
          <w:rFonts w:ascii="Arial" w:hAnsi="Arial" w:cs="Arial"/>
          <w:b/>
          <w:bCs/>
        </w:rPr>
        <w:t>Hipótesis estadística.-</w:t>
      </w:r>
      <w:r>
        <w:rPr>
          <w:rFonts w:ascii="Arial" w:hAnsi="Arial" w:cs="Arial"/>
        </w:rPr>
        <w:t xml:space="preserve">  Es una afirmación o conjetura acerca de la distribución de una o más variables.  Si una hipótesis estadística especifica por completo la di</w:t>
      </w:r>
      <w:r>
        <w:rPr>
          <w:rFonts w:ascii="Arial" w:hAnsi="Arial" w:cs="Arial"/>
        </w:rPr>
        <w:t xml:space="preserve">stribución, recibe el nombre de </w:t>
      </w:r>
      <w:r>
        <w:rPr>
          <w:rFonts w:ascii="Arial" w:hAnsi="Arial" w:cs="Arial"/>
          <w:b/>
          <w:bCs/>
        </w:rPr>
        <w:t>hipótesis simple</w:t>
      </w:r>
      <w:r>
        <w:rPr>
          <w:rFonts w:ascii="Arial" w:hAnsi="Arial" w:cs="Arial"/>
        </w:rPr>
        <w:t xml:space="preserve">; si no, se conoce como </w:t>
      </w:r>
      <w:r>
        <w:rPr>
          <w:rFonts w:ascii="Arial" w:hAnsi="Arial" w:cs="Arial"/>
          <w:b/>
          <w:bCs/>
        </w:rPr>
        <w:t>hipótesis compuesta</w:t>
      </w:r>
      <w:r>
        <w:rPr>
          <w:rFonts w:ascii="Arial" w:hAnsi="Arial" w:cs="Arial"/>
        </w:rPr>
        <w:t>.</w:t>
      </w: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bCs/>
        </w:rPr>
        <w:t>H</w:t>
      </w:r>
      <w:r>
        <w:rPr>
          <w:rFonts w:ascii="Arial" w:hAnsi="Arial" w:cs="Arial"/>
          <w:b/>
          <w:bCs/>
          <w:position w:val="-12"/>
        </w:rPr>
        <w:object w:dxaOrig="139" w:dyaOrig="360">
          <v:shape id="_x0000_i1093" type="#_x0000_t75" style="width:6.75pt;height:18pt" o:ole="">
            <v:imagedata r:id="rId135" o:title=""/>
          </v:shape>
          <o:OLEObject Type="Embed" ProgID="Equation.3" ShapeID="_x0000_i1093" DrawAspect="Content" ObjectID="_1308036969" r:id="rId136"/>
        </w:object>
      </w:r>
      <w:r>
        <w:rPr>
          <w:rFonts w:ascii="Arial" w:hAnsi="Arial" w:cs="Arial"/>
        </w:rPr>
        <w:t>es la hipótesis nula que se desea rechazar.</w:t>
      </w:r>
    </w:p>
    <w:p w:rsidR="00000000" w:rsidRDefault="000E1CA1">
      <w:pPr>
        <w:spacing w:line="480" w:lineRule="auto"/>
        <w:ind w:left="902"/>
        <w:jc w:val="both"/>
        <w:rPr>
          <w:rFonts w:ascii="Arial" w:hAnsi="Arial" w:cs="Arial"/>
        </w:rPr>
      </w:pPr>
      <w:r>
        <w:rPr>
          <w:rFonts w:ascii="Arial" w:hAnsi="Arial" w:cs="Arial"/>
          <w:b/>
          <w:bCs/>
        </w:rPr>
        <w:t>H</w:t>
      </w:r>
      <w:r>
        <w:rPr>
          <w:rFonts w:ascii="Arial" w:hAnsi="Arial" w:cs="Arial"/>
          <w:b/>
          <w:bCs/>
          <w:position w:val="-10"/>
        </w:rPr>
        <w:object w:dxaOrig="120" w:dyaOrig="340">
          <v:shape id="_x0000_i1094" type="#_x0000_t75" style="width:6pt;height:17.25pt" o:ole="">
            <v:imagedata r:id="rId137" o:title=""/>
          </v:shape>
          <o:OLEObject Type="Embed" ProgID="Equation.3" ShapeID="_x0000_i1094" DrawAspect="Content" ObjectID="_1308036970" r:id="rId138"/>
        </w:object>
      </w:r>
      <w:r>
        <w:rPr>
          <w:rFonts w:ascii="Arial" w:hAnsi="Arial" w:cs="Arial"/>
        </w:rPr>
        <w:t xml:space="preserve"> es la hipótesis alternativa.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numPr>
          <w:ilvl w:val="0"/>
          <w:numId w:val="18"/>
        </w:numPr>
        <w:spacing w:line="480" w:lineRule="auto"/>
        <w:jc w:val="both"/>
        <w:rPr>
          <w:rFonts w:ascii="Arial" w:hAnsi="Arial" w:cs="Arial"/>
        </w:rPr>
      </w:pPr>
      <w:r>
        <w:rPr>
          <w:rFonts w:ascii="Arial" w:hAnsi="Arial" w:cs="Arial"/>
          <w:b/>
          <w:bCs/>
        </w:rPr>
        <w:t>Prueba de una hipótesis estadística.-</w:t>
      </w:r>
      <w:r>
        <w:rPr>
          <w:rFonts w:ascii="Arial" w:hAnsi="Arial" w:cs="Arial"/>
        </w:rPr>
        <w:t xml:space="preserve"> Es la aplicación de un explícito conjunto de reglas para decidir si aceptamos la hipótesis nula o la rechazamos a favor de la hipótesis alternativa.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Al rechazo de la hipótesis nula </w:t>
      </w:r>
      <w:r>
        <w:rPr>
          <w:rFonts w:ascii="Arial" w:hAnsi="Arial" w:cs="Arial"/>
          <w:b/>
          <w:bCs/>
        </w:rPr>
        <w:t>H</w:t>
      </w:r>
      <w:r>
        <w:rPr>
          <w:rFonts w:ascii="Arial" w:hAnsi="Arial" w:cs="Arial"/>
          <w:b/>
          <w:bCs/>
          <w:position w:val="-12"/>
        </w:rPr>
        <w:object w:dxaOrig="139" w:dyaOrig="360">
          <v:shape id="_x0000_i1095" type="#_x0000_t75" style="width:6.75pt;height:18pt" o:ole="">
            <v:imagedata r:id="rId135" o:title=""/>
          </v:shape>
          <o:OLEObject Type="Embed" ProgID="Equation.3" ShapeID="_x0000_i1095" DrawAspect="Content" ObjectID="_1308036971" r:id="rId139"/>
        </w:object>
      </w:r>
      <w:r>
        <w:rPr>
          <w:rFonts w:ascii="Arial" w:hAnsi="Arial" w:cs="Arial"/>
        </w:rPr>
        <w:t xml:space="preserve"> cuando ésta es verdadera se la conoce como err</w:t>
      </w:r>
      <w:r>
        <w:rPr>
          <w:rFonts w:ascii="Arial" w:hAnsi="Arial" w:cs="Arial"/>
        </w:rPr>
        <w:t xml:space="preserve">or de tipo I; la probabilidad de cometer un error de tipo I se denota por medio de </w:t>
      </w:r>
      <w:r>
        <w:rPr>
          <w:rFonts w:ascii="Arial" w:hAnsi="Arial" w:cs="Arial"/>
        </w:rPr>
        <w:sym w:font="Symbol" w:char="F061"/>
      </w:r>
      <w:r>
        <w:rPr>
          <w:rFonts w:ascii="Arial" w:hAnsi="Arial" w:cs="Arial"/>
        </w:rPr>
        <w: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 aceptación de la hipótesis nula cuando ésta es falsa recibe el nombre de error de tipo II; la probabilidad de cometer un error de tipo II se representa por medio de </w:t>
      </w:r>
      <w:r>
        <w:rPr>
          <w:rFonts w:ascii="Arial" w:hAnsi="Arial" w:cs="Arial"/>
        </w:rPr>
        <w:sym w:font="Symbol" w:char="F062"/>
      </w:r>
      <w:r>
        <w:rPr>
          <w:rFonts w:ascii="Arial" w:hAnsi="Arial" w:cs="Arial"/>
        </w:rPr>
        <w:t>.</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A la región de rechazo de  </w:t>
      </w:r>
      <w:r>
        <w:rPr>
          <w:rFonts w:ascii="Arial" w:hAnsi="Arial" w:cs="Arial"/>
          <w:b/>
          <w:bCs/>
        </w:rPr>
        <w:t>H</w:t>
      </w:r>
      <w:r>
        <w:rPr>
          <w:rFonts w:ascii="Arial" w:hAnsi="Arial" w:cs="Arial"/>
          <w:b/>
          <w:bCs/>
          <w:position w:val="-12"/>
        </w:rPr>
        <w:object w:dxaOrig="139" w:dyaOrig="360">
          <v:shape id="_x0000_i1096" type="#_x0000_t75" style="width:6.75pt;height:18pt" o:ole="">
            <v:imagedata r:id="rId135" o:title=""/>
          </v:shape>
          <o:OLEObject Type="Embed" ProgID="Equation.3" ShapeID="_x0000_i1096" DrawAspect="Content" ObjectID="_1308036972" r:id="rId140"/>
        </w:object>
      </w:r>
      <w:r>
        <w:rPr>
          <w:rFonts w:ascii="Arial" w:hAnsi="Arial" w:cs="Arial"/>
        </w:rPr>
        <w:t xml:space="preserve"> se acostumbra denominarla región crítica de la prueba y a la probabilidad de obtener un valor de la estadística de prueba situado dentro de la región crítica cuando </w:t>
      </w:r>
      <w:r>
        <w:rPr>
          <w:rFonts w:ascii="Arial" w:hAnsi="Arial" w:cs="Arial"/>
          <w:b/>
          <w:bCs/>
        </w:rPr>
        <w:t>H</w:t>
      </w:r>
      <w:r>
        <w:rPr>
          <w:rFonts w:ascii="Arial" w:hAnsi="Arial" w:cs="Arial"/>
          <w:b/>
          <w:bCs/>
          <w:position w:val="-12"/>
        </w:rPr>
        <w:object w:dxaOrig="139" w:dyaOrig="360">
          <v:shape id="_x0000_i1097" type="#_x0000_t75" style="width:6.75pt;height:18pt" o:ole="">
            <v:imagedata r:id="rId135" o:title=""/>
          </v:shape>
          <o:OLEObject Type="Embed" ProgID="Equation.3" ShapeID="_x0000_i1097" DrawAspect="Content" ObjectID="_1308036973" r:id="rId141"/>
        </w:object>
      </w:r>
      <w:r>
        <w:rPr>
          <w:rFonts w:ascii="Arial" w:hAnsi="Arial" w:cs="Arial"/>
        </w:rPr>
        <w:t xml:space="preserve">  es verd</w:t>
      </w:r>
      <w:r>
        <w:rPr>
          <w:rFonts w:ascii="Arial" w:hAnsi="Arial" w:cs="Arial"/>
        </w:rPr>
        <w:t>adera, tamaño de la región crítica.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 xml:space="preserve">El tamaño de una región crítica es simplemente la probabilidad </w:t>
      </w:r>
      <w:r>
        <w:rPr>
          <w:rFonts w:ascii="Arial" w:hAnsi="Arial" w:cs="Arial"/>
        </w:rPr>
        <w:sym w:font="Symbol" w:char="F061"/>
      </w:r>
      <w:r>
        <w:rPr>
          <w:rFonts w:ascii="Arial" w:hAnsi="Arial" w:cs="Arial"/>
        </w:rPr>
        <w:t xml:space="preserve"> de cometer un error de tipo I, esta probabilidad se denomina también nivel de significancia de la prueba.</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Con toda prueba hay un valor que se calcula,</w:t>
      </w:r>
      <w:r>
        <w:rPr>
          <w:rFonts w:ascii="Arial" w:hAnsi="Arial" w:cs="Arial"/>
        </w:rPr>
        <w:t xml:space="preserve"> este valor es el estadístico de la prueba, con el cual se comparará la hipótesis nula y se decidirá si se rechaza o no.  Al usar el estadístico de la prueba se asocia un </w:t>
      </w:r>
      <w:r>
        <w:rPr>
          <w:rFonts w:ascii="Arial" w:hAnsi="Arial" w:cs="Arial"/>
          <w:b/>
          <w:bCs/>
        </w:rPr>
        <w:t>valor p</w:t>
      </w:r>
      <w:r>
        <w:rPr>
          <w:rFonts w:ascii="Arial" w:hAnsi="Arial" w:cs="Arial"/>
        </w:rPr>
        <w:t xml:space="preserve">, que es el mínimo nivel de significancia al cual se puede rechazar </w:t>
      </w:r>
      <w:r>
        <w:rPr>
          <w:rFonts w:ascii="Arial" w:hAnsi="Arial" w:cs="Arial"/>
          <w:b/>
          <w:bCs/>
        </w:rPr>
        <w:t>H</w:t>
      </w:r>
      <w:r>
        <w:rPr>
          <w:rFonts w:ascii="Arial" w:hAnsi="Arial" w:cs="Arial"/>
          <w:b/>
          <w:bCs/>
          <w:position w:val="-12"/>
        </w:rPr>
        <w:object w:dxaOrig="139" w:dyaOrig="360">
          <v:shape id="_x0000_i1098" type="#_x0000_t75" style="width:6.75pt;height:18pt" o:ole="">
            <v:imagedata r:id="rId135" o:title=""/>
          </v:shape>
          <o:OLEObject Type="Embed" ProgID="Equation.3" ShapeID="_x0000_i1098" DrawAspect="Content" ObjectID="_1308036974" r:id="rId142"/>
        </w:object>
      </w:r>
      <w:r>
        <w:rPr>
          <w:rFonts w:ascii="Arial" w:hAnsi="Arial" w:cs="Arial"/>
        </w:rPr>
        <w:t>.</w:t>
      </w:r>
    </w:p>
    <w:p w:rsidR="00000000" w:rsidRDefault="000E1CA1">
      <w:pPr>
        <w:jc w:val="both"/>
        <w:rPr>
          <w:rFonts w:ascii="Arial" w:hAnsi="Arial" w:cs="Arial"/>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pStyle w:val="Textoindependiente"/>
        <w:spacing w:line="480" w:lineRule="auto"/>
        <w:ind w:left="357"/>
        <w:rPr>
          <w:rFonts w:ascii="Arial" w:hAnsi="Arial" w:cs="Arial"/>
          <w:b/>
          <w:bCs/>
        </w:rPr>
      </w:pPr>
    </w:p>
    <w:p w:rsidR="00000000" w:rsidRDefault="000E1CA1">
      <w:pPr>
        <w:pStyle w:val="Textoindependiente"/>
        <w:spacing w:line="480" w:lineRule="auto"/>
        <w:ind w:left="357"/>
        <w:rPr>
          <w:rFonts w:ascii="Arial" w:hAnsi="Arial" w:cs="Arial"/>
          <w:b/>
          <w:bCs/>
        </w:rPr>
      </w:pPr>
    </w:p>
    <w:p w:rsidR="00000000" w:rsidRDefault="000E1CA1">
      <w:pPr>
        <w:pStyle w:val="Textoindependiente"/>
        <w:spacing w:line="480" w:lineRule="auto"/>
        <w:ind w:left="357"/>
        <w:rPr>
          <w:rFonts w:ascii="Arial" w:hAnsi="Arial" w:cs="Arial"/>
          <w:b/>
          <w:bCs/>
        </w:rPr>
      </w:pPr>
    </w:p>
    <w:p w:rsidR="00000000" w:rsidRDefault="000E1CA1">
      <w:pPr>
        <w:pStyle w:val="Textoindependiente"/>
        <w:spacing w:line="480" w:lineRule="auto"/>
        <w:ind w:left="357"/>
        <w:rPr>
          <w:rFonts w:ascii="Arial" w:hAnsi="Arial" w:cs="Arial"/>
          <w:b/>
          <w:bCs/>
        </w:rPr>
      </w:pPr>
    </w:p>
    <w:p w:rsidR="00000000" w:rsidRDefault="000E1CA1">
      <w:pPr>
        <w:pStyle w:val="Textoindependiente"/>
        <w:spacing w:line="480" w:lineRule="auto"/>
        <w:ind w:left="357"/>
        <w:rPr>
          <w:rFonts w:ascii="Arial" w:hAnsi="Arial" w:cs="Arial"/>
          <w:b/>
          <w:bCs/>
        </w:rPr>
      </w:pPr>
    </w:p>
    <w:p w:rsidR="00000000" w:rsidRDefault="000E1CA1">
      <w:pPr>
        <w:pStyle w:val="Textoindependiente"/>
        <w:spacing w:line="480" w:lineRule="auto"/>
        <w:ind w:left="357"/>
        <w:rPr>
          <w:rFonts w:ascii="Arial" w:hAnsi="Arial" w:cs="Arial"/>
        </w:rPr>
      </w:pPr>
      <w:r>
        <w:rPr>
          <w:rFonts w:ascii="Arial" w:hAnsi="Arial" w:cs="Arial"/>
          <w:b/>
          <w:bCs/>
        </w:rPr>
        <w:t>3.3   Análisis Univariado de las compañías de la Región Sierra</w:t>
      </w:r>
      <w:r>
        <w:rPr>
          <w:rFonts w:ascii="Arial" w:hAnsi="Arial" w:cs="Arial"/>
        </w:rPr>
        <w:t xml:space="preserve"> </w:t>
      </w:r>
    </w:p>
    <w:p w:rsidR="00000000" w:rsidRDefault="000E1CA1">
      <w:pPr>
        <w:spacing w:line="480" w:lineRule="auto"/>
        <w:ind w:left="902"/>
        <w:jc w:val="both"/>
        <w:rPr>
          <w:rFonts w:ascii="Arial" w:hAnsi="Arial" w:cs="Arial"/>
        </w:rPr>
      </w:pPr>
      <w:r>
        <w:rPr>
          <w:rFonts w:ascii="Arial" w:hAnsi="Arial" w:cs="Arial"/>
        </w:rPr>
        <w:t>Para el desarrollo del análisis univariado  se efectuará un tratamiento individual a cada una de las variables de estudio, se presentarán en especial las estadísticas</w:t>
      </w:r>
      <w:r>
        <w:rPr>
          <w:rFonts w:ascii="Arial" w:hAnsi="Arial" w:cs="Arial"/>
        </w:rPr>
        <w:t xml:space="preserve"> descriptivas que están dadas en base a su incremento, gráficos del total de cada una de las variables así como también la tasa de variación, la prueba de Kolmogorov – Smirnov para determinar la distribución de datos.  </w:t>
      </w:r>
    </w:p>
    <w:p w:rsidR="00000000" w:rsidRDefault="000E1CA1">
      <w:pPr>
        <w:ind w:left="194" w:firstLine="708"/>
        <w:jc w:val="both"/>
        <w:rPr>
          <w:rFonts w:ascii="Arial" w:hAnsi="Arial" w:cs="Arial"/>
        </w:rPr>
      </w:pPr>
      <w:r>
        <w:rPr>
          <w:rFonts w:ascii="Arial" w:hAnsi="Arial" w:cs="Arial"/>
        </w:rPr>
        <w:t>Descripción de las variables de estu</w:t>
      </w:r>
      <w:r>
        <w:rPr>
          <w:rFonts w:ascii="Arial" w:hAnsi="Arial" w:cs="Arial"/>
        </w:rPr>
        <w:t>dio:</w:t>
      </w:r>
    </w:p>
    <w:p w:rsidR="00000000" w:rsidRDefault="000E1CA1">
      <w:pPr>
        <w:jc w:val="both"/>
        <w:rPr>
          <w:rFonts w:ascii="Arial" w:hAnsi="Arial" w:cs="Arial"/>
        </w:rPr>
      </w:pPr>
    </w:p>
    <w:p w:rsidR="00000000" w:rsidRDefault="000E1CA1">
      <w:pPr>
        <w:pStyle w:val="Ttulo1"/>
        <w:spacing w:line="480" w:lineRule="auto"/>
        <w:ind w:left="902"/>
        <w:rPr>
          <w:rFonts w:ascii="Arial" w:hAnsi="Arial" w:cs="Arial"/>
          <w:i w:val="0"/>
          <w:iCs w:val="0"/>
        </w:rPr>
      </w:pPr>
      <w:r>
        <w:rPr>
          <w:rFonts w:ascii="Arial" w:hAnsi="Arial" w:cs="Arial"/>
          <w:b/>
          <w:bCs/>
          <w:i w:val="0"/>
          <w:iCs w:val="0"/>
        </w:rPr>
        <w:t>X</w:t>
      </w:r>
      <w:r>
        <w:rPr>
          <w:rFonts w:ascii="Arial" w:hAnsi="Arial" w:cs="Arial"/>
          <w:b/>
          <w:bCs/>
          <w:i w:val="0"/>
          <w:iCs w:val="0"/>
          <w:vertAlign w:val="subscript"/>
        </w:rPr>
        <w:t>1</w:t>
      </w:r>
      <w:r>
        <w:rPr>
          <w:rFonts w:ascii="Arial" w:hAnsi="Arial" w:cs="Arial"/>
          <w:b/>
          <w:bCs/>
          <w:i w:val="0"/>
          <w:iCs w:val="0"/>
        </w:rPr>
        <w:t xml:space="preserve">:  </w:t>
      </w:r>
      <w:r>
        <w:rPr>
          <w:rFonts w:ascii="Arial" w:hAnsi="Arial" w:cs="Arial"/>
          <w:i w:val="0"/>
          <w:iCs w:val="0"/>
        </w:rPr>
        <w:t xml:space="preserve">Número de compañías </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2</w:t>
      </w:r>
      <w:r>
        <w:rPr>
          <w:rFonts w:ascii="Arial" w:hAnsi="Arial" w:cs="Arial"/>
          <w:b/>
          <w:bCs/>
          <w:i w:val="0"/>
          <w:iCs w:val="0"/>
          <w:lang w:val="es-ES_tradnl"/>
        </w:rPr>
        <w:t xml:space="preserve">:  </w:t>
      </w:r>
      <w:r>
        <w:rPr>
          <w:rFonts w:ascii="Arial" w:hAnsi="Arial" w:cs="Arial"/>
          <w:i w:val="0"/>
          <w:iCs w:val="0"/>
        </w:rPr>
        <w:t xml:space="preserve">Activos de las compañías </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3</w:t>
      </w:r>
      <w:r>
        <w:rPr>
          <w:rFonts w:ascii="Arial" w:hAnsi="Arial" w:cs="Arial"/>
          <w:i w:val="0"/>
          <w:iCs w:val="0"/>
          <w:lang w:val="es-ES_tradnl"/>
        </w:rPr>
        <w:t xml:space="preserve">:  </w:t>
      </w:r>
      <w:r>
        <w:rPr>
          <w:rFonts w:ascii="Arial" w:hAnsi="Arial" w:cs="Arial"/>
          <w:i w:val="0"/>
          <w:iCs w:val="0"/>
        </w:rPr>
        <w:t>Pasivos de las compañías</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4</w:t>
      </w:r>
      <w:r>
        <w:rPr>
          <w:rFonts w:ascii="Arial" w:hAnsi="Arial" w:cs="Arial"/>
          <w:i w:val="0"/>
          <w:iCs w:val="0"/>
          <w:lang w:val="es-ES_tradnl"/>
        </w:rPr>
        <w:t xml:space="preserve">:  </w:t>
      </w:r>
      <w:r>
        <w:rPr>
          <w:rFonts w:ascii="Arial" w:hAnsi="Arial" w:cs="Arial"/>
          <w:i w:val="0"/>
          <w:iCs w:val="0"/>
        </w:rPr>
        <w:t xml:space="preserve">Patrimonios de las compañías </w:t>
      </w:r>
    </w:p>
    <w:p w:rsidR="00000000" w:rsidRDefault="000E1CA1">
      <w:pPr>
        <w:pStyle w:val="Ttulo1"/>
        <w:spacing w:line="480" w:lineRule="auto"/>
        <w:ind w:left="902"/>
        <w:rPr>
          <w:rFonts w:ascii="Arial" w:hAnsi="Arial" w:cs="Arial"/>
          <w:b/>
          <w:i w:val="0"/>
          <w:iCs w:val="0"/>
          <w:lang w:val="es-ES_tradnl"/>
        </w:rPr>
      </w:pPr>
      <w:r>
        <w:rPr>
          <w:rFonts w:ascii="Arial" w:hAnsi="Arial" w:cs="Arial"/>
          <w:b/>
          <w:i w:val="0"/>
          <w:iCs w:val="0"/>
          <w:snapToGrid w:val="0"/>
        </w:rPr>
        <w:t>X</w:t>
      </w:r>
      <w:r>
        <w:rPr>
          <w:rFonts w:ascii="Arial" w:hAnsi="Arial" w:cs="Arial"/>
          <w:b/>
          <w:i w:val="0"/>
          <w:iCs w:val="0"/>
          <w:snapToGrid w:val="0"/>
          <w:vertAlign w:val="subscript"/>
        </w:rPr>
        <w:t>5</w:t>
      </w:r>
      <w:r>
        <w:rPr>
          <w:rFonts w:ascii="Arial" w:hAnsi="Arial" w:cs="Arial"/>
          <w:b/>
          <w:i w:val="0"/>
          <w:iCs w:val="0"/>
          <w:snapToGrid w:val="0"/>
        </w:rPr>
        <w:t xml:space="preserve">:  </w:t>
      </w:r>
      <w:r>
        <w:rPr>
          <w:rFonts w:ascii="Arial" w:hAnsi="Arial" w:cs="Arial"/>
          <w:i w:val="0"/>
          <w:iCs w:val="0"/>
        </w:rPr>
        <w:t xml:space="preserve">Ventas de las compañías </w:t>
      </w:r>
    </w:p>
    <w:p w:rsidR="00000000" w:rsidRDefault="000E1CA1">
      <w:pPr>
        <w:pStyle w:val="Ttulo1"/>
        <w:spacing w:line="480" w:lineRule="auto"/>
        <w:ind w:left="902"/>
        <w:rPr>
          <w:rFonts w:ascii="Arial" w:hAnsi="Arial" w:cs="Arial"/>
          <w:i w:val="0"/>
          <w:iCs w:val="0"/>
        </w:rPr>
      </w:pPr>
      <w:r>
        <w:rPr>
          <w:rFonts w:ascii="Arial" w:hAnsi="Arial" w:cs="Arial"/>
          <w:b/>
          <w:bCs/>
          <w:i w:val="0"/>
          <w:iCs w:val="0"/>
        </w:rPr>
        <w:t>X</w:t>
      </w:r>
      <w:r>
        <w:rPr>
          <w:rFonts w:ascii="Arial" w:hAnsi="Arial" w:cs="Arial"/>
          <w:b/>
          <w:bCs/>
          <w:i w:val="0"/>
          <w:iCs w:val="0"/>
          <w:vertAlign w:val="subscript"/>
        </w:rPr>
        <w:t>6</w:t>
      </w:r>
      <w:r>
        <w:rPr>
          <w:rFonts w:ascii="Arial" w:hAnsi="Arial" w:cs="Arial"/>
          <w:b/>
          <w:bCs/>
          <w:i w:val="0"/>
          <w:iCs w:val="0"/>
        </w:rPr>
        <w:t xml:space="preserve">:  </w:t>
      </w:r>
      <w:r>
        <w:rPr>
          <w:rFonts w:ascii="Arial" w:hAnsi="Arial" w:cs="Arial"/>
          <w:i w:val="0"/>
          <w:iCs w:val="0"/>
        </w:rPr>
        <w:t>Razón de endeudamiento</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7</w:t>
      </w:r>
      <w:r>
        <w:rPr>
          <w:rFonts w:ascii="Arial" w:hAnsi="Arial" w:cs="Arial"/>
          <w:b/>
          <w:bCs/>
          <w:i w:val="0"/>
          <w:iCs w:val="0"/>
          <w:lang w:val="es-ES_tradnl"/>
        </w:rPr>
        <w:t xml:space="preserve">:  </w:t>
      </w:r>
      <w:r>
        <w:rPr>
          <w:rFonts w:ascii="Arial" w:hAnsi="Arial" w:cs="Arial"/>
          <w:i w:val="0"/>
          <w:iCs w:val="0"/>
          <w:lang w:val="es-ES_tradnl"/>
        </w:rPr>
        <w:t xml:space="preserve">Razón </w:t>
      </w:r>
      <w:r>
        <w:rPr>
          <w:rFonts w:ascii="Arial" w:hAnsi="Arial" w:cs="Arial"/>
          <w:i w:val="0"/>
          <w:iCs w:val="0"/>
        </w:rPr>
        <w:t>de participación de deuda</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8</w:t>
      </w:r>
      <w:r>
        <w:rPr>
          <w:rFonts w:ascii="Arial" w:hAnsi="Arial" w:cs="Arial"/>
          <w:i w:val="0"/>
          <w:iCs w:val="0"/>
          <w:lang w:val="es-ES_tradnl"/>
        </w:rPr>
        <w:t>:  Razón de participación accio</w:t>
      </w:r>
      <w:r>
        <w:rPr>
          <w:rFonts w:ascii="Arial" w:hAnsi="Arial" w:cs="Arial"/>
          <w:i w:val="0"/>
          <w:iCs w:val="0"/>
          <w:lang w:val="es-ES_tradnl"/>
        </w:rPr>
        <w:t>naria</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9</w:t>
      </w:r>
      <w:r>
        <w:rPr>
          <w:rFonts w:ascii="Arial" w:hAnsi="Arial" w:cs="Arial"/>
          <w:i w:val="0"/>
          <w:iCs w:val="0"/>
          <w:lang w:val="es-ES_tradnl"/>
        </w:rPr>
        <w:t>:  Razón de</w:t>
      </w:r>
      <w:r>
        <w:rPr>
          <w:rFonts w:ascii="Arial" w:hAnsi="Arial" w:cs="Arial"/>
          <w:i w:val="0"/>
          <w:iCs w:val="0"/>
        </w:rPr>
        <w:t xml:space="preserve"> rendimiento sobre el activo</w:t>
      </w:r>
    </w:p>
    <w:p w:rsidR="00000000" w:rsidRDefault="000E1CA1">
      <w:pPr>
        <w:pStyle w:val="Ttulo1"/>
        <w:spacing w:line="480" w:lineRule="auto"/>
        <w:ind w:left="902"/>
        <w:rPr>
          <w:rFonts w:ascii="Arial" w:hAnsi="Arial" w:cs="Arial"/>
          <w:b/>
          <w:i w:val="0"/>
          <w:iCs w:val="0"/>
          <w:lang w:val="es-ES_tradnl"/>
        </w:rPr>
      </w:pPr>
      <w:r>
        <w:rPr>
          <w:rFonts w:ascii="Arial" w:hAnsi="Arial" w:cs="Arial"/>
          <w:b/>
          <w:i w:val="0"/>
          <w:iCs w:val="0"/>
          <w:snapToGrid w:val="0"/>
        </w:rPr>
        <w:t>X</w:t>
      </w:r>
      <w:r>
        <w:rPr>
          <w:rFonts w:ascii="Arial" w:hAnsi="Arial" w:cs="Arial"/>
          <w:b/>
          <w:i w:val="0"/>
          <w:iCs w:val="0"/>
          <w:snapToGrid w:val="0"/>
          <w:vertAlign w:val="subscript"/>
        </w:rPr>
        <w:t>10</w:t>
      </w:r>
      <w:r>
        <w:rPr>
          <w:rFonts w:ascii="Arial" w:hAnsi="Arial" w:cs="Arial"/>
          <w:b/>
          <w:i w:val="0"/>
          <w:iCs w:val="0"/>
          <w:snapToGrid w:val="0"/>
        </w:rPr>
        <w:t xml:space="preserve">: </w:t>
      </w:r>
      <w:r>
        <w:rPr>
          <w:rFonts w:ascii="Arial" w:hAnsi="Arial" w:cs="Arial"/>
          <w:bCs/>
          <w:i w:val="0"/>
          <w:iCs w:val="0"/>
          <w:snapToGrid w:val="0"/>
        </w:rPr>
        <w:t>Razón de rendimiento sobre el patrimonio</w:t>
      </w:r>
    </w:p>
    <w:p w:rsidR="00000000" w:rsidRDefault="000E1CA1">
      <w:pPr>
        <w:pStyle w:val="Ttulo1"/>
        <w:spacing w:line="480" w:lineRule="auto"/>
        <w:ind w:left="902"/>
        <w:rPr>
          <w:rFonts w:ascii="Arial" w:hAnsi="Arial" w:cs="Arial"/>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11</w:t>
      </w:r>
      <w:r>
        <w:rPr>
          <w:rFonts w:ascii="Arial" w:hAnsi="Arial" w:cs="Arial"/>
          <w:b/>
          <w:bCs/>
          <w:i w:val="0"/>
          <w:iCs w:val="0"/>
          <w:lang w:val="es-ES_tradnl"/>
        </w:rPr>
        <w:t xml:space="preserve">: </w:t>
      </w:r>
      <w:r>
        <w:rPr>
          <w:rFonts w:ascii="Arial" w:hAnsi="Arial" w:cs="Arial"/>
          <w:i w:val="0"/>
          <w:iCs w:val="0"/>
          <w:lang w:val="es-ES_tradnl"/>
        </w:rPr>
        <w:t>Producto Interno Bruto</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12</w:t>
      </w:r>
      <w:r>
        <w:rPr>
          <w:rFonts w:ascii="Arial" w:hAnsi="Arial" w:cs="Arial"/>
          <w:i w:val="0"/>
          <w:iCs w:val="0"/>
          <w:lang w:val="es-ES_tradnl"/>
        </w:rPr>
        <w:t xml:space="preserve">: Deuda externa privada </w:t>
      </w:r>
    </w:p>
    <w:p w:rsidR="00000000" w:rsidRDefault="000E1CA1">
      <w:pPr>
        <w:pStyle w:val="Ttulo1"/>
        <w:spacing w:line="480" w:lineRule="auto"/>
        <w:ind w:left="902"/>
        <w:rPr>
          <w:rFonts w:ascii="Arial" w:hAnsi="Arial" w:cs="Arial"/>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13</w:t>
      </w:r>
      <w:r>
        <w:rPr>
          <w:rFonts w:ascii="Arial" w:hAnsi="Arial" w:cs="Arial"/>
          <w:i w:val="0"/>
          <w:iCs w:val="0"/>
          <w:lang w:val="es-ES_tradnl"/>
        </w:rPr>
        <w:t xml:space="preserve">: Balanza comercial </w:t>
      </w:r>
    </w:p>
    <w:p w:rsidR="00000000" w:rsidRDefault="000E1CA1">
      <w:pPr>
        <w:rPr>
          <w:lang w:val="es-ES_tradnl"/>
        </w:rPr>
      </w:pPr>
    </w:p>
    <w:p w:rsidR="00000000" w:rsidRDefault="000E1CA1">
      <w:pPr>
        <w:rPr>
          <w:lang w:val="es-ES_tradnl"/>
        </w:rPr>
      </w:pP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3.3.1</w:t>
      </w:r>
      <w:r>
        <w:rPr>
          <w:rFonts w:ascii="Arial" w:hAnsi="Arial" w:cs="Arial"/>
          <w:i w:val="0"/>
          <w:iCs w:val="0"/>
          <w:lang w:val="es-ES_tradnl"/>
        </w:rPr>
        <w:t xml:space="preserve">  </w:t>
      </w:r>
      <w:r>
        <w:rPr>
          <w:rFonts w:ascii="Arial" w:hAnsi="Arial" w:cs="Arial"/>
          <w:b/>
          <w:bCs/>
          <w:i w:val="0"/>
          <w:iCs w:val="0"/>
          <w:lang w:val="es-ES_tradnl"/>
        </w:rPr>
        <w:t xml:space="preserve">Número de compañías </w:t>
      </w:r>
    </w:p>
    <w:p w:rsidR="00000000" w:rsidRDefault="000E1CA1">
      <w:pPr>
        <w:pStyle w:val="Sangra3detindependiente"/>
        <w:ind w:left="902"/>
        <w:jc w:val="both"/>
        <w:rPr>
          <w:rFonts w:cs="Arial"/>
        </w:rPr>
      </w:pPr>
      <w:r>
        <w:t xml:space="preserve">Esta variable representa a la cantidad anual global </w:t>
      </w:r>
      <w:r>
        <w:t>de compañías.  Es decir, el total de las compañías anónimas, de responsabilidad limitada, de economía mixta y sucursales extranjeras  en el período de 1.975 – 1.999.  A continuación se presenta la estadística descriptiva  en la tabla.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Sangradetextonormal"/>
        <w:jc w:val="center"/>
        <w:rPr>
          <w:b/>
          <w:bCs/>
          <w:lang w:val="es-ES_tradnl"/>
        </w:rPr>
      </w:pPr>
      <w:r>
        <w:rPr>
          <w:b/>
          <w:bCs/>
          <w:lang w:val="es-ES_tradnl"/>
        </w:rPr>
        <w:t>TABLA I</w:t>
      </w: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NUMERO DE C</w:t>
      </w:r>
      <w:r>
        <w:rPr>
          <w:rFonts w:ascii="Arial" w:hAnsi="Arial" w:cs="Arial"/>
          <w:b/>
          <w:bCs/>
          <w:i w:val="0"/>
          <w:iCs w:val="0"/>
          <w:lang w:val="es-ES_tradnl"/>
        </w:rPr>
        <w:t>OMPAÑÍAS DE LA REGIÓN SIERRA</w:t>
      </w:r>
    </w:p>
    <w:p w:rsidR="00000000" w:rsidRDefault="000E1CA1">
      <w:pPr>
        <w:rPr>
          <w:lang w:val="es-ES_tradnl"/>
        </w:rPr>
      </w:pPr>
    </w:p>
    <w:p w:rsidR="00000000" w:rsidRDefault="000E1CA1">
      <w:pPr>
        <w:ind w:left="851"/>
        <w:jc w:val="both"/>
        <w:rPr>
          <w:rFonts w:ascii="Arial" w:hAnsi="Arial" w:cs="Arial"/>
        </w:rPr>
      </w:pPr>
    </w:p>
    <w:tbl>
      <w:tblPr>
        <w:tblW w:w="0" w:type="auto"/>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-70</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1368</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387.52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316.86</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100402.26</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1.317</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2.776</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I nos muestra toda la información válida para un análi</w:t>
      </w:r>
      <w:r>
        <w:rPr>
          <w:rFonts w:cs="Arial"/>
          <w:b w:val="0"/>
          <w:color w:val="auto"/>
          <w:sz w:val="24"/>
        </w:rPr>
        <w:t>sis.  Tenemos a la media anual que nos indica que en promedio 387.52 compañías del total de la región sierra se han incorporado al mercado.  La desviación estándar nos indica que el número de compañías 316.86 se desvía de la media anual.  En esta distribuc</w:t>
      </w:r>
      <w:r>
        <w:rPr>
          <w:rFonts w:cs="Arial"/>
          <w:b w:val="0"/>
          <w:color w:val="auto"/>
          <w:sz w:val="24"/>
        </w:rPr>
        <w:t>ión los datos se encuentran ligeramente sesgados a la derecha con respecto a la media debido a que el coeficiente de sesgo es positivo (1.317), en lo que respecta al coeficiente de kurtosis (2.776) es leptocúrtica.  Es decir más picuda que una distribución</w:t>
      </w:r>
      <w:r>
        <w:rPr>
          <w:rFonts w:cs="Arial"/>
          <w:b w:val="0"/>
          <w:color w:val="auto"/>
          <w:sz w:val="24"/>
        </w:rPr>
        <w:t xml:space="preserve"> normal estándar. </w:t>
      </w: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IX que el número de compañías del total de la región sierra  ha mantenido a lo largo del tiempo un índice de crecimiento estable.</w:t>
      </w: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59" type="#_x0000_t202" style="position:absolute;margin-left:54pt;margin-top:9pt;width:348.15pt;height:346.2pt;z-index:251622912" strokecolor="white">
            <v:textbox>
              <w:txbxContent>
                <w:p w:rsidR="00000000" w:rsidRDefault="00266E4B">
                  <w:r>
                    <w:rPr>
                      <w:noProof/>
                    </w:rPr>
                    <w:drawing>
                      <wp:inline distT="0" distB="0" distL="0" distR="0">
                        <wp:extent cx="4229100" cy="42926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xbxContent>
            </v:textbox>
          </v:shape>
        </w:pict>
      </w:r>
      <w:r>
        <w:rPr>
          <w:noProof/>
          <w:sz w:val="20"/>
        </w:rPr>
        <w:pict>
          <v:rect id="_x0000_s1053" style="position:absolute;margin-left:48pt;margin-top:0;width:5in;height:396pt;z-index:251616768"/>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61" type="#_x0000_t202" style="position:absolute;margin-left:66pt;margin-top:6.05pt;width:324pt;height:36pt;z-index:251624960" strokecolor="white">
            <v:textbox>
              <w:txbxContent>
                <w:p w:rsidR="00000000" w:rsidRDefault="000E1CA1">
                  <w:pPr>
                    <w:rPr>
                      <w:rFonts w:ascii="Arial" w:hAnsi="Arial" w:cs="Arial"/>
                    </w:rPr>
                  </w:pPr>
                  <w:r>
                    <w:rPr>
                      <w:rFonts w:ascii="Arial" w:hAnsi="Arial" w:cs="Arial"/>
                      <w:b/>
                      <w:bCs/>
                    </w:rPr>
                    <w:t>Gráfico IX.</w:t>
                  </w:r>
                  <w:r>
                    <w:rPr>
                      <w:rFonts w:ascii="Arial" w:hAnsi="Arial" w:cs="Arial"/>
                    </w:rPr>
                    <w:t xml:space="preserve">  Número de compañías de la Región Sierra</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Sangradetextonormal"/>
        <w:spacing w:line="480" w:lineRule="auto"/>
        <w:ind w:left="902"/>
        <w:rPr>
          <w:lang w:val="es-ES_tradnl"/>
        </w:rPr>
      </w:pPr>
      <w:r>
        <w:rPr>
          <w:lang w:val="es-ES_tradnl"/>
        </w:rPr>
        <w:t>A continuación en el gráfico X se puede ap</w:t>
      </w:r>
      <w:r>
        <w:rPr>
          <w:lang w:val="es-ES_tradnl"/>
        </w:rPr>
        <w:t>reciar la tasa de variación de las compañías, en el año 1975 hubo un crecimiento de 1368 cías, en 1.983 y en 1.995 un decrecimiento de 70  y 28 cías respectivamente.</w:t>
      </w: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rect id="_x0000_s1054" style="position:absolute;margin-left:42pt;margin-top:6.55pt;width:372pt;height:458.45pt;z-index:251617792"/>
        </w:pict>
      </w:r>
    </w:p>
    <w:p w:rsidR="00000000" w:rsidRDefault="000E1CA1">
      <w:pPr>
        <w:rPr>
          <w:lang w:val="es-ES_tradnl"/>
        </w:rPr>
      </w:pPr>
      <w:r>
        <w:rPr>
          <w:noProof/>
          <w:sz w:val="20"/>
        </w:rPr>
        <w:pict>
          <v:shape id="_x0000_s1055" type="#_x0000_t202" style="position:absolute;margin-left:48pt;margin-top:1.75pt;width:354.15pt;height:405.95pt;z-index:251618816" strokecolor="white">
            <v:textbox style="mso-next-textbox:#_x0000_s1055">
              <w:txbxContent>
                <w:p w:rsidR="00000000" w:rsidRDefault="00266E4B">
                  <w:r>
                    <w:rPr>
                      <w:noProof/>
                    </w:rPr>
                    <w:drawing>
                      <wp:inline distT="0" distB="0" distL="0" distR="0">
                        <wp:extent cx="4305300" cy="50546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62" type="#_x0000_t202" style="position:absolute;margin-left:60pt;margin-top:6.05pt;width:336pt;height:36pt;z-index:251625984" strokecolor="white">
            <v:textbox>
              <w:txbxContent>
                <w:p w:rsidR="00000000" w:rsidRDefault="000E1CA1">
                  <w:pPr>
                    <w:rPr>
                      <w:rFonts w:ascii="Arial" w:hAnsi="Arial" w:cs="Arial"/>
                    </w:rPr>
                  </w:pPr>
                  <w:r>
                    <w:rPr>
                      <w:rFonts w:ascii="Arial" w:hAnsi="Arial" w:cs="Arial"/>
                      <w:b/>
                      <w:bCs/>
                    </w:rPr>
                    <w:t>Gráfico X.</w:t>
                  </w:r>
                  <w:r>
                    <w:rPr>
                      <w:rFonts w:ascii="Arial" w:hAnsi="Arial" w:cs="Arial"/>
                    </w:rPr>
                    <w:t xml:space="preserve">  Variación del núme</w:t>
                  </w:r>
                  <w:r>
                    <w:rPr>
                      <w:rFonts w:ascii="Arial" w:hAnsi="Arial" w:cs="Arial"/>
                    </w:rPr>
                    <w:t>ro de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4"/>
        <w:ind w:firstLine="0"/>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del número to</w:t>
      </w:r>
      <w:r>
        <w:rPr>
          <w:rFonts w:ascii="Arial" w:hAnsi="Arial"/>
          <w:iCs/>
        </w:rPr>
        <w:t>tal de compañías de la región sierra se ajustan a una distribución N ( 387.52 ; 316.86)</w:t>
      </w:r>
    </w:p>
    <w:p w:rsidR="00000000" w:rsidRDefault="000E1CA1">
      <w:pPr>
        <w:rPr>
          <w:lang w:val="es-ES_tradnl"/>
        </w:rPr>
      </w:pPr>
    </w:p>
    <w:p w:rsidR="00000000" w:rsidRDefault="000E1CA1">
      <w:pPr>
        <w:rPr>
          <w:lang w:val="es-ES_tradnl"/>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spacing w:line="480" w:lineRule="auto"/>
        <w:ind w:left="902"/>
        <w:jc w:val="both"/>
        <w:rPr>
          <w:rFonts w:ascii="Arial" w:hAnsi="Arial"/>
          <w:iCs/>
          <w:vertAlign w:val="subscript"/>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pPr>
    </w:p>
    <w:p w:rsidR="00000000" w:rsidRDefault="000E1CA1">
      <w:pPr>
        <w:pStyle w:val="Ttulo9"/>
      </w:pPr>
    </w:p>
    <w:p w:rsidR="00000000" w:rsidRDefault="000E1CA1">
      <w:pPr>
        <w:pStyle w:val="Ttulo9"/>
      </w:pPr>
    </w:p>
    <w:p w:rsidR="00000000" w:rsidRDefault="000E1CA1">
      <w:pPr>
        <w:pStyle w:val="Ttulo9"/>
        <w:ind w:left="3734" w:firstLine="514"/>
        <w:rPr>
          <w:i w:val="0"/>
          <w:iCs w:val="0"/>
        </w:rPr>
      </w:pPr>
      <w:r>
        <w:rPr>
          <w:i w:val="0"/>
          <w:iCs w:val="0"/>
        </w:rPr>
        <w:t>TABLA II</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1</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1</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0.152</w:t>
            </w:r>
          </w:p>
        </w:tc>
        <w:tc>
          <w:tcPr>
            <w:tcW w:w="1418" w:type="dxa"/>
            <w:vAlign w:val="center"/>
          </w:tcPr>
          <w:p w:rsidR="00000000" w:rsidRDefault="000E1CA1">
            <w:pPr>
              <w:jc w:val="center"/>
              <w:rPr>
                <w:rFonts w:ascii="Arial" w:hAnsi="Arial"/>
                <w:snapToGrid w:val="0"/>
              </w:rPr>
            </w:pPr>
            <w:r>
              <w:rPr>
                <w:rFonts w:ascii="Arial" w:hAnsi="Arial"/>
                <w:snapToGrid w:val="0"/>
              </w:rPr>
              <w:t>0.612</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902"/>
        <w:jc w:val="both"/>
        <w:rPr>
          <w:rFonts w:ascii="Arial" w:hAnsi="Arial"/>
          <w:snapToGrid w:val="0"/>
        </w:rPr>
      </w:pPr>
    </w:p>
    <w:p w:rsidR="00000000" w:rsidRDefault="000E1CA1">
      <w:pPr>
        <w:ind w:left="902"/>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xml:space="preserve">, de que el número total de compañías de la región sierra es una variable aleatoria normal con una media 387.52 y una desviación estándar de 316.86.  </w:t>
      </w:r>
    </w:p>
    <w:p w:rsidR="00000000" w:rsidRDefault="000E1CA1">
      <w:pPr>
        <w:pStyle w:val="Sangradetextonormal"/>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3.3.2   </w:t>
      </w:r>
      <w:r>
        <w:rPr>
          <w:rFonts w:ascii="Arial" w:hAnsi="Arial" w:cs="Arial"/>
          <w:b/>
          <w:bCs/>
          <w:i w:val="0"/>
          <w:iCs w:val="0"/>
        </w:rPr>
        <w:t>Activos de</w:t>
      </w:r>
      <w:r>
        <w:rPr>
          <w:rFonts w:ascii="Arial" w:hAnsi="Arial" w:cs="Arial"/>
          <w:b/>
          <w:bCs/>
          <w:i w:val="0"/>
          <w:iCs w:val="0"/>
        </w:rPr>
        <w:t xml:space="preserve"> las compañías </w:t>
      </w:r>
    </w:p>
    <w:p w:rsidR="00000000" w:rsidRDefault="000E1CA1">
      <w:pPr>
        <w:pStyle w:val="Sangra3detindependiente"/>
        <w:ind w:left="902"/>
        <w:jc w:val="both"/>
        <w:rPr>
          <w:rFonts w:cs="Arial"/>
        </w:rPr>
      </w:pPr>
      <w:r>
        <w:t>Esta variable representa a los activos anuales globales de las compañías.  Es decir, el total de las compañías anónimas, de responsabilidad limitada, de economía mixta y sucursales extranjeras  en el período de 1.975 – 1.999.  A continuació</w:t>
      </w:r>
      <w:r>
        <w:t>n se presenta la estadística descriptiva en la tabla.</w:t>
      </w:r>
    </w:p>
    <w:p w:rsidR="00000000" w:rsidRDefault="000E1CA1">
      <w:pPr>
        <w:rPr>
          <w:lang w:val="es-ES_tradnl"/>
        </w:rPr>
      </w:pPr>
    </w:p>
    <w:p w:rsidR="00000000" w:rsidRDefault="000E1CA1">
      <w:pPr>
        <w:pStyle w:val="Ttulo1"/>
        <w:ind w:left="902"/>
        <w:jc w:val="center"/>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III</w:t>
      </w: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ACTIVO DE LAS COMPAÑÍAS DE LA REGIÓN SIERRA</w:t>
      </w: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 xml:space="preserve">Tamaño de la muestra n </w:t>
            </w:r>
          </w:p>
        </w:tc>
        <w:tc>
          <w:tcPr>
            <w:tcW w:w="2551" w:type="dxa"/>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 xml:space="preserve">Mínimo valor </w:t>
            </w:r>
          </w:p>
        </w:tc>
        <w:tc>
          <w:tcPr>
            <w:tcW w:w="2551" w:type="dxa"/>
          </w:tcPr>
          <w:p w:rsidR="00000000" w:rsidRDefault="000E1CA1">
            <w:pPr>
              <w:jc w:val="right"/>
              <w:rPr>
                <w:rFonts w:ascii="Arial" w:hAnsi="Arial" w:cs="Arial"/>
              </w:rPr>
            </w:pPr>
            <w:r>
              <w:rPr>
                <w:rFonts w:ascii="Arial" w:hAnsi="Arial" w:cs="Arial"/>
              </w:rPr>
              <w:t>-1205.51</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 xml:space="preserve">Máximo valor  </w:t>
            </w:r>
          </w:p>
        </w:tc>
        <w:tc>
          <w:tcPr>
            <w:tcW w:w="2551" w:type="dxa"/>
          </w:tcPr>
          <w:p w:rsidR="00000000" w:rsidRDefault="000E1CA1">
            <w:pPr>
              <w:jc w:val="right"/>
              <w:rPr>
                <w:rFonts w:ascii="Arial" w:hAnsi="Arial" w:cs="Arial"/>
              </w:rPr>
            </w:pPr>
            <w:r>
              <w:rPr>
                <w:rFonts w:ascii="Arial" w:hAnsi="Arial" w:cs="Arial"/>
              </w:rPr>
              <w:t>1534.80</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Media</w:t>
            </w:r>
          </w:p>
        </w:tc>
        <w:tc>
          <w:tcPr>
            <w:tcW w:w="2551" w:type="dxa"/>
          </w:tcPr>
          <w:p w:rsidR="00000000" w:rsidRDefault="000E1CA1">
            <w:pPr>
              <w:jc w:val="right"/>
              <w:rPr>
                <w:rFonts w:ascii="Arial" w:hAnsi="Arial" w:cs="Arial"/>
              </w:rPr>
            </w:pPr>
            <w:r>
              <w:rPr>
                <w:rFonts w:ascii="Arial" w:hAnsi="Arial" w:cs="Arial"/>
              </w:rPr>
              <w:t>370.6056</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Desviación estándar</w:t>
            </w:r>
          </w:p>
        </w:tc>
        <w:tc>
          <w:tcPr>
            <w:tcW w:w="2551" w:type="dxa"/>
          </w:tcPr>
          <w:p w:rsidR="00000000" w:rsidRDefault="000E1CA1">
            <w:pPr>
              <w:jc w:val="right"/>
              <w:rPr>
                <w:rFonts w:ascii="Arial" w:hAnsi="Arial" w:cs="Arial"/>
              </w:rPr>
            </w:pPr>
            <w:r>
              <w:rPr>
                <w:rFonts w:ascii="Arial" w:hAnsi="Arial" w:cs="Arial"/>
              </w:rPr>
              <w:t>696.2074</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Varianza</w:t>
            </w:r>
          </w:p>
        </w:tc>
        <w:tc>
          <w:tcPr>
            <w:tcW w:w="2551" w:type="dxa"/>
          </w:tcPr>
          <w:p w:rsidR="00000000" w:rsidRDefault="000E1CA1">
            <w:pPr>
              <w:jc w:val="right"/>
              <w:rPr>
                <w:rFonts w:ascii="Arial" w:hAnsi="Arial" w:cs="Arial"/>
              </w:rPr>
            </w:pPr>
            <w:r>
              <w:rPr>
                <w:rFonts w:ascii="Arial" w:hAnsi="Arial" w:cs="Arial"/>
              </w:rPr>
              <w:t>484704.75</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Se</w:t>
            </w:r>
            <w:r>
              <w:rPr>
                <w:rFonts w:ascii="Arial" w:hAnsi="Arial" w:cs="Arial"/>
              </w:rPr>
              <w:t>sgo</w:t>
            </w:r>
          </w:p>
        </w:tc>
        <w:tc>
          <w:tcPr>
            <w:tcW w:w="2551" w:type="dxa"/>
          </w:tcPr>
          <w:p w:rsidR="00000000" w:rsidRDefault="000E1CA1">
            <w:pPr>
              <w:jc w:val="right"/>
              <w:rPr>
                <w:rFonts w:ascii="Arial" w:hAnsi="Arial" w:cs="Arial"/>
              </w:rPr>
            </w:pPr>
            <w:r>
              <w:rPr>
                <w:rFonts w:ascii="Arial" w:hAnsi="Arial" w:cs="Arial"/>
              </w:rPr>
              <w:t>-0.861</w:t>
            </w:r>
          </w:p>
        </w:tc>
      </w:tr>
      <w:tr w:rsidR="00000000">
        <w:tblPrEx>
          <w:tblCellMar>
            <w:top w:w="0" w:type="dxa"/>
            <w:bottom w:w="0" w:type="dxa"/>
          </w:tblCellMar>
        </w:tblPrEx>
        <w:tc>
          <w:tcPr>
            <w:tcW w:w="4111" w:type="dxa"/>
          </w:tcPr>
          <w:p w:rsidR="00000000" w:rsidRDefault="000E1CA1">
            <w:pPr>
              <w:jc w:val="both"/>
              <w:rPr>
                <w:rFonts w:ascii="Arial" w:hAnsi="Arial" w:cs="Arial"/>
              </w:rPr>
            </w:pPr>
            <w:r>
              <w:rPr>
                <w:rFonts w:ascii="Arial" w:hAnsi="Arial" w:cs="Arial"/>
              </w:rPr>
              <w:t>Kurtosis</w:t>
            </w:r>
          </w:p>
        </w:tc>
        <w:tc>
          <w:tcPr>
            <w:tcW w:w="2551" w:type="dxa"/>
          </w:tcPr>
          <w:p w:rsidR="00000000" w:rsidRDefault="000E1CA1">
            <w:pPr>
              <w:jc w:val="right"/>
              <w:rPr>
                <w:rFonts w:ascii="Arial" w:hAnsi="Arial" w:cs="Arial"/>
              </w:rPr>
            </w:pPr>
            <w:r>
              <w:rPr>
                <w:rFonts w:ascii="Arial" w:hAnsi="Arial" w:cs="Arial"/>
              </w:rPr>
              <w:t>1.071</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III nos muestra toda la información válida para un análisis.  Tenemos a la media anual que nos indica que en promedio 370.6056 millones de dólares ha sido el incremento de los activos de las compañías de la región si</w:t>
      </w:r>
      <w:r>
        <w:rPr>
          <w:rFonts w:cs="Arial"/>
          <w:b w:val="0"/>
          <w:color w:val="auto"/>
          <w:sz w:val="24"/>
        </w:rPr>
        <w:t>erra.  La desviación estándar nos indica que los activos de las compañías  se desvía 696.2074 millones de dólares de la media anual.  En esta distribución los datos se encuentran sesgados a la izquierda con respecto a la media debido a que el coeficiente d</w:t>
      </w:r>
      <w:r>
        <w:rPr>
          <w:rFonts w:cs="Arial"/>
          <w:b w:val="0"/>
          <w:color w:val="auto"/>
          <w:sz w:val="24"/>
        </w:rPr>
        <w:t xml:space="preserve">e sesgo es negativo (-0.861), en lo que respecta al coeficiente de kurtosis (1.071) es leptocúrtica.  Es decir más picuda que una distribución normal estándar. </w:t>
      </w: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XI que el activo de las compañías de la región sierra ha manteni</w:t>
      </w:r>
      <w:r>
        <w:rPr>
          <w:rFonts w:cs="Arial"/>
          <w:b w:val="0"/>
          <w:color w:val="auto"/>
          <w:sz w:val="24"/>
        </w:rPr>
        <w:t>do un índice de crecimiento un poco estable esto se debe a la incorporación o disminución de compañías o también a la situación económica de nuestro país .</w:t>
      </w:r>
    </w:p>
    <w:p w:rsidR="00000000" w:rsidRDefault="000E1CA1">
      <w:pPr>
        <w:rPr>
          <w:lang w:val="es-ES_tradnl"/>
        </w:rPr>
      </w:pPr>
    </w:p>
    <w:p w:rsidR="00000000" w:rsidRDefault="000E1CA1">
      <w:pPr>
        <w:rPr>
          <w:lang w:val="es-ES_tradnl"/>
        </w:rPr>
      </w:pPr>
      <w:r>
        <w:rPr>
          <w:noProof/>
          <w:sz w:val="20"/>
        </w:rPr>
        <w:pict>
          <v:rect id="_x0000_s1056" style="position:absolute;margin-left:48pt;margin-top:9.6pt;width:354pt;height:367.8pt;z-index:251619840"/>
        </w:pict>
      </w:r>
    </w:p>
    <w:p w:rsidR="00000000" w:rsidRDefault="000E1CA1">
      <w:pPr>
        <w:rPr>
          <w:lang w:val="es-ES_tradnl"/>
        </w:rPr>
      </w:pPr>
      <w:r>
        <w:rPr>
          <w:noProof/>
          <w:sz w:val="20"/>
        </w:rPr>
        <w:pict>
          <v:shape id="_x0000_s1060" type="#_x0000_t202" style="position:absolute;margin-left:54pt;margin-top:8.4pt;width:341.15pt;height:318.95pt;z-index:251623936" strokecolor="white">
            <v:textbox>
              <w:txbxContent>
                <w:p w:rsidR="00000000" w:rsidRDefault="00266E4B">
                  <w:r>
                    <w:rPr>
                      <w:noProof/>
                    </w:rPr>
                    <w:drawing>
                      <wp:inline distT="0" distB="0" distL="0" distR="0">
                        <wp:extent cx="4140200" cy="39497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63" type="#_x0000_t202" style="position:absolute;margin-left:66pt;margin-top:6.05pt;width:324pt;height:36pt;z-index:251627008" strokecolor="white">
            <v:textbox>
              <w:txbxContent>
                <w:p w:rsidR="00000000" w:rsidRDefault="000E1CA1">
                  <w:pPr>
                    <w:rPr>
                      <w:rFonts w:ascii="Arial" w:hAnsi="Arial" w:cs="Arial"/>
                    </w:rPr>
                  </w:pPr>
                  <w:r>
                    <w:rPr>
                      <w:rFonts w:ascii="Arial" w:hAnsi="Arial" w:cs="Arial"/>
                      <w:b/>
                      <w:bCs/>
                    </w:rPr>
                    <w:t>Gráfico XI.</w:t>
                  </w:r>
                  <w:r>
                    <w:rPr>
                      <w:rFonts w:ascii="Arial" w:hAnsi="Arial" w:cs="Arial"/>
                    </w:rPr>
                    <w:t xml:space="preserve">  Activos de las compañías de la Región Sierra</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spacing w:line="480" w:lineRule="auto"/>
        <w:ind w:left="902"/>
        <w:jc w:val="both"/>
        <w:rPr>
          <w:lang w:val="es-ES_tradnl"/>
        </w:rPr>
      </w:pPr>
      <w:r>
        <w:rPr>
          <w:rFonts w:ascii="Arial" w:hAnsi="Arial" w:cs="Arial"/>
          <w:lang w:val="es-ES_tradnl"/>
        </w:rPr>
        <w:t>A continuación en el gráfico XII se puede apreciar la tasa de variac</w:t>
      </w:r>
      <w:r>
        <w:rPr>
          <w:rFonts w:ascii="Arial" w:hAnsi="Arial" w:cs="Arial"/>
          <w:lang w:val="es-ES_tradnl"/>
        </w:rPr>
        <w:t>ión de los activos, en 1.977, 1.992, 1.993 y 1.998 hay un decremento esto se debe a que nuestro país ha cruzado crisis económicas que ha afectado a los diferentes sectores</w:t>
      </w:r>
      <w:r>
        <w:rPr>
          <w:lang w:val="es-ES_tradnl"/>
        </w:rPr>
        <w:t>.</w:t>
      </w: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rect id="_x0000_s1057" style="position:absolute;margin-left:42pt;margin-top:12pt;width:372pt;height:468pt;z-index:251620864"/>
        </w:pict>
      </w:r>
    </w:p>
    <w:p w:rsidR="00000000" w:rsidRDefault="000E1CA1">
      <w:pPr>
        <w:rPr>
          <w:lang w:val="es-ES_tradnl"/>
        </w:rPr>
      </w:pPr>
      <w:r>
        <w:rPr>
          <w:noProof/>
          <w:sz w:val="20"/>
        </w:rPr>
        <w:pict>
          <v:shape id="_x0000_s1058" type="#_x0000_t202" style="position:absolute;margin-left:48pt;margin-top:7.2pt;width:360.15pt;height:416.95pt;z-index:251621888" strokecolor="white">
            <v:textbox>
              <w:txbxContent>
                <w:p w:rsidR="00000000" w:rsidRDefault="00266E4B">
                  <w:r>
                    <w:rPr>
                      <w:noProof/>
                    </w:rPr>
                    <w:drawing>
                      <wp:inline distT="0" distB="0" distL="0" distR="0">
                        <wp:extent cx="4381500" cy="51943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64" type="#_x0000_t202" style="position:absolute;margin-left:54pt;margin-top:10.2pt;width:342pt;height:36pt;z-index:251628032" strokecolor="white">
            <v:textbox>
              <w:txbxContent>
                <w:p w:rsidR="00000000" w:rsidRDefault="000E1CA1">
                  <w:pPr>
                    <w:rPr>
                      <w:rFonts w:ascii="Arial" w:hAnsi="Arial" w:cs="Arial"/>
                    </w:rPr>
                  </w:pPr>
                  <w:r>
                    <w:rPr>
                      <w:rFonts w:ascii="Arial" w:hAnsi="Arial" w:cs="Arial"/>
                      <w:b/>
                      <w:bCs/>
                    </w:rPr>
                    <w:t>Gráfico XII.</w:t>
                  </w:r>
                  <w:r>
                    <w:rPr>
                      <w:rFonts w:ascii="Arial" w:hAnsi="Arial" w:cs="Arial"/>
                    </w:rPr>
                    <w:t xml:space="preserve">  Variación de los activos de </w:t>
                  </w:r>
                  <w:r>
                    <w:rPr>
                      <w:rFonts w:ascii="Arial" w:hAnsi="Arial" w:cs="Arial"/>
                    </w:rPr>
                    <w:t>las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act</w:t>
      </w:r>
      <w:r>
        <w:rPr>
          <w:rFonts w:ascii="Arial" w:hAnsi="Arial"/>
          <w:iCs/>
        </w:rPr>
        <w:t>ivos de las compañías de la región sierra se ajustan a una distribución N ( 370.6056 ; 696.2074 )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ind w:left="851"/>
        <w:jc w:val="center"/>
        <w:rPr>
          <w:rFonts w:ascii="Arial" w:hAnsi="Arial"/>
          <w:iCs/>
        </w:rPr>
      </w:pPr>
      <w:r>
        <w:rPr>
          <w:rFonts w:ascii="Arial" w:hAnsi="Arial"/>
          <w:iCs/>
        </w:rPr>
        <w:t>Vs.</w:t>
      </w: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rPr>
          <w:lang w:val="es-ES_tradnl"/>
        </w:rPr>
      </w:pPr>
    </w:p>
    <w:p w:rsidR="00000000" w:rsidRDefault="000E1CA1">
      <w:pPr>
        <w:pStyle w:val="Ttulo9"/>
        <w:ind w:left="3734" w:firstLine="514"/>
      </w:pPr>
      <w:r>
        <w:rPr>
          <w:i w:val="0"/>
          <w:iCs w:val="0"/>
        </w:rPr>
        <w:t>TABLA IV</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2</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rPr>
          <w:trHeight w:val="457"/>
        </w:trPr>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2</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0.194</w:t>
            </w:r>
          </w:p>
        </w:tc>
        <w:tc>
          <w:tcPr>
            <w:tcW w:w="1418" w:type="dxa"/>
            <w:vAlign w:val="center"/>
          </w:tcPr>
          <w:p w:rsidR="00000000" w:rsidRDefault="000E1CA1">
            <w:pPr>
              <w:jc w:val="center"/>
              <w:rPr>
                <w:rFonts w:ascii="Arial" w:hAnsi="Arial"/>
                <w:snapToGrid w:val="0"/>
              </w:rPr>
            </w:pPr>
            <w:r>
              <w:rPr>
                <w:rFonts w:ascii="Arial" w:hAnsi="Arial"/>
                <w:snapToGrid w:val="0"/>
              </w:rPr>
              <w:t>0.306</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de que los activos de las compañías de la región sierra es una variable aleatoria normal con media 370.6056 y una desviación estándar de 696.2074.</w:t>
      </w:r>
    </w:p>
    <w:p w:rsidR="00000000" w:rsidRDefault="000E1CA1"/>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rsidP="000E1CA1">
      <w:pPr>
        <w:pStyle w:val="Sangra3detindependiente"/>
        <w:numPr>
          <w:ilvl w:val="2"/>
          <w:numId w:val="34"/>
        </w:numPr>
        <w:jc w:val="both"/>
        <w:rPr>
          <w:b/>
          <w:bCs/>
        </w:rPr>
      </w:pPr>
      <w:r>
        <w:rPr>
          <w:b/>
          <w:bCs/>
        </w:rPr>
        <w:t>Pasivo</w:t>
      </w:r>
      <w:r>
        <w:rPr>
          <w:b/>
          <w:bCs/>
        </w:rPr>
        <w:t>s de las compañías</w:t>
      </w:r>
    </w:p>
    <w:p w:rsidR="00000000" w:rsidRDefault="000E1CA1">
      <w:pPr>
        <w:pStyle w:val="Sangra3detindependiente"/>
        <w:ind w:left="902"/>
        <w:jc w:val="both"/>
      </w:pPr>
      <w:r>
        <w:t>Esta variable representa a los pasivos anuales globales de las compañías.  Es decir, el total de las compañías anónimas, de responsabilidad limitada, de economía mixta y sucursales extranjeras  en el período de 1.975 – 1.999.  A continua</w:t>
      </w:r>
      <w:r>
        <w:t>ción se presenta la estadística descriptiva en la tabla.</w:t>
      </w:r>
    </w:p>
    <w:p w:rsidR="00000000" w:rsidRDefault="000E1CA1">
      <w:pPr>
        <w:pStyle w:val="Sangra3detindependiente"/>
        <w:spacing w:line="240" w:lineRule="auto"/>
        <w:ind w:left="902"/>
        <w:jc w:val="both"/>
      </w:pPr>
    </w:p>
    <w:p w:rsidR="00000000" w:rsidRDefault="000E1CA1">
      <w:pPr>
        <w:pStyle w:val="Sangra3detindependiente"/>
        <w:spacing w:line="240" w:lineRule="auto"/>
        <w:ind w:left="902"/>
        <w:jc w:val="both"/>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V</w:t>
      </w: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PASIVOS DE LAS COMPAÑÍAS DE LA REGIÓN SIERRA</w:t>
      </w: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0" w:type="auto"/>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-819.65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1726.12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267.9460</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528.9615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279800.28</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w:t>
            </w:r>
            <w:r>
              <w:rPr>
                <w:rFonts w:ascii="Arial" w:hAnsi="Arial" w:cs="Arial"/>
              </w:rPr>
              <w:t>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0.034</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2.333</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V nos muestra toda la información válida para un análisis, tenemos a la media anual que nos indica que en promedio 267.9460 millones de dólares ha sido el incremento de los pasivos de las compañías de la región sierra</w:t>
      </w:r>
      <w:r>
        <w:rPr>
          <w:rFonts w:cs="Arial"/>
          <w:b w:val="0"/>
          <w:color w:val="auto"/>
          <w:sz w:val="24"/>
        </w:rPr>
        <w:t>.  La desviación estándar nos indica que el número de los pasivos de las compañías  se desvía 528.9615 millones de dólares de la media anual.  En esta distribución los datos se encuentran ligeramente sesgados a la derecha con respecto a la media debido a q</w:t>
      </w:r>
      <w:r>
        <w:rPr>
          <w:rFonts w:cs="Arial"/>
          <w:b w:val="0"/>
          <w:color w:val="auto"/>
          <w:sz w:val="24"/>
        </w:rPr>
        <w:t xml:space="preserve">ue el coeficiente de sesgo es positivo (0.034), en lo que respecta al coeficiente de kurtosis (2.333) es leptocúrtica.  Es decir más picuda que una distribución normal estándar. </w:t>
      </w: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XIII que los pasivos de las compañías de la re</w:t>
      </w:r>
      <w:r>
        <w:rPr>
          <w:rFonts w:cs="Arial"/>
          <w:b w:val="0"/>
          <w:color w:val="auto"/>
          <w:sz w:val="24"/>
        </w:rPr>
        <w:t>gión sierra ha un crecimiento un poco estable, notándose un crecimiento mayor en el último año, esto puede atribuirse a que las compañías se endeudan y por lo tanto aumentan sus pasivos.</w:t>
      </w:r>
    </w:p>
    <w:p w:rsidR="00000000" w:rsidRDefault="000E1CA1">
      <w:pPr>
        <w:pStyle w:val="Subttulo"/>
        <w:spacing w:line="480" w:lineRule="auto"/>
        <w:ind w:left="902"/>
        <w:rPr>
          <w:rFonts w:cs="Arial"/>
          <w:b w:val="0"/>
          <w:color w:val="auto"/>
          <w:sz w:val="24"/>
        </w:rPr>
      </w:pPr>
      <w:r>
        <w:rPr>
          <w:rFonts w:cs="Arial"/>
          <w:b w:val="0"/>
          <w:noProof/>
          <w:color w:val="auto"/>
          <w:lang w:val="es-ES"/>
        </w:rPr>
        <w:pict>
          <v:shape id="_x0000_s1077" type="#_x0000_t202" style="position:absolute;left:0;text-align:left;margin-left:54pt;margin-top:18pt;width:347.15pt;height:318.95pt;z-index:251641344" strokecolor="white">
            <v:textbox>
              <w:txbxContent>
                <w:p w:rsidR="00000000" w:rsidRDefault="00266E4B">
                  <w:r>
                    <w:rPr>
                      <w:noProof/>
                    </w:rPr>
                    <w:drawing>
                      <wp:inline distT="0" distB="0" distL="0" distR="0">
                        <wp:extent cx="4216400" cy="39497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xbxContent>
            </v:textbox>
          </v:shape>
        </w:pict>
      </w:r>
      <w:r>
        <w:rPr>
          <w:rFonts w:cs="Arial"/>
          <w:b w:val="0"/>
          <w:noProof/>
          <w:color w:val="auto"/>
          <w:lang w:val="es-ES"/>
        </w:rPr>
        <w:pict>
          <v:rect id="_x0000_s1065" style="position:absolute;left:0;text-align:left;margin-left:48pt;margin-top:16.2pt;width:5in;height:361.2pt;z-index:251629056"/>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83" type="#_x0000_t202" style="position:absolute;margin-left:54pt;margin-top:1.85pt;width:348pt;height:36pt;z-index:251647488" strokecolor="white">
            <v:textbox>
              <w:txbxContent>
                <w:p w:rsidR="00000000" w:rsidRDefault="000E1CA1">
                  <w:pPr>
                    <w:rPr>
                      <w:rFonts w:ascii="Arial" w:hAnsi="Arial" w:cs="Arial"/>
                    </w:rPr>
                  </w:pPr>
                  <w:r>
                    <w:rPr>
                      <w:rFonts w:ascii="Arial" w:hAnsi="Arial" w:cs="Arial"/>
                      <w:b/>
                      <w:bCs/>
                    </w:rPr>
                    <w:t>Gráfico XIII.</w:t>
                  </w:r>
                  <w:r>
                    <w:rPr>
                      <w:rFonts w:ascii="Arial" w:hAnsi="Arial" w:cs="Arial"/>
                    </w:rPr>
                    <w:t xml:space="preserve">  Pasivos de las compañías de la Región Sierra</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A continuación en el gráfico XIV se pued</w:t>
      </w:r>
      <w:r>
        <w:rPr>
          <w:rFonts w:ascii="Arial" w:hAnsi="Arial" w:cs="Arial"/>
          <w:lang w:val="es-ES_tradnl"/>
        </w:rPr>
        <w:t>e apreciar la tasa de variación de los pasivos, en los años de 1.977, 1,982, 1.983 y 1.988 hubo un decremento, notándose que en el resto de años ha sido muy variable.</w:t>
      </w:r>
    </w:p>
    <w:p w:rsidR="00000000" w:rsidRDefault="000E1CA1">
      <w:pPr>
        <w:rPr>
          <w:lang w:val="es-ES_tradnl"/>
        </w:rPr>
      </w:pPr>
    </w:p>
    <w:p w:rsidR="00000000" w:rsidRDefault="000E1CA1">
      <w:pPr>
        <w:rPr>
          <w:lang w:val="es-ES_tradnl"/>
        </w:rPr>
      </w:pPr>
      <w:r>
        <w:rPr>
          <w:noProof/>
          <w:sz w:val="20"/>
        </w:rPr>
        <w:pict>
          <v:rect id="_x0000_s1066" style="position:absolute;margin-left:42pt;margin-top:9.6pt;width:372pt;height:405pt;z-index:251630080"/>
        </w:pict>
      </w:r>
    </w:p>
    <w:p w:rsidR="00000000" w:rsidRDefault="000E1CA1">
      <w:pPr>
        <w:rPr>
          <w:lang w:val="es-ES_tradnl"/>
        </w:rPr>
      </w:pPr>
      <w:r>
        <w:rPr>
          <w:noProof/>
          <w:sz w:val="20"/>
        </w:rPr>
        <w:pict>
          <v:shape id="_x0000_s1067" type="#_x0000_t202" style="position:absolute;margin-left:48pt;margin-top:6pt;width:356.15pt;height:351.95pt;z-index:251631104" strokecolor="white">
            <v:textbox>
              <w:txbxContent>
                <w:p w:rsidR="00000000" w:rsidRDefault="00266E4B">
                  <w:r>
                    <w:rPr>
                      <w:noProof/>
                    </w:rPr>
                    <w:drawing>
                      <wp:inline distT="0" distB="0" distL="0" distR="0">
                        <wp:extent cx="4330700" cy="43688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84" type="#_x0000_t202" style="position:absolute;margin-left:54pt;margin-top:12.05pt;width:336pt;height:36pt;z-index:251648512" strokecolor="white">
            <v:textbox>
              <w:txbxContent>
                <w:p w:rsidR="00000000" w:rsidRDefault="000E1CA1">
                  <w:pPr>
                    <w:rPr>
                      <w:rFonts w:ascii="Arial" w:hAnsi="Arial" w:cs="Arial"/>
                    </w:rPr>
                  </w:pPr>
                  <w:r>
                    <w:rPr>
                      <w:rFonts w:ascii="Arial" w:hAnsi="Arial" w:cs="Arial"/>
                      <w:b/>
                      <w:bCs/>
                    </w:rPr>
                    <w:t>Gráfico XIV.</w:t>
                  </w:r>
                  <w:r>
                    <w:rPr>
                      <w:rFonts w:ascii="Arial" w:hAnsi="Arial" w:cs="Arial"/>
                    </w:rPr>
                    <w:t xml:space="preserve">  Variación de los pasivos de </w:t>
                  </w:r>
                  <w:r>
                    <w:rPr>
                      <w:rFonts w:ascii="Arial" w:hAnsi="Arial" w:cs="Arial"/>
                    </w:rPr>
                    <w:t>las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2124"/>
        <w:rPr>
          <w:rFonts w:ascii="Arial" w:hAnsi="Arial"/>
          <w:bCs w:val="0"/>
        </w:rPr>
      </w:pPr>
      <w:r>
        <w:rPr>
          <w:rFonts w:ascii="Arial" w:hAnsi="Arial"/>
          <w:bCs w:val="0"/>
        </w:rPr>
        <w:t>PRUEBA DE KOLMOGOROV</w:t>
      </w: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los pasiv</w:t>
      </w:r>
      <w:r>
        <w:rPr>
          <w:rFonts w:ascii="Arial" w:hAnsi="Arial"/>
          <w:iCs/>
        </w:rPr>
        <w:t>os de las compañías de la región sierra se ajustan a una distribución N ( 267.9460 ; 528.9615 )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902"/>
        <w:jc w:val="both"/>
        <w:rPr>
          <w:rFonts w:ascii="Arial" w:hAnsi="Arial"/>
          <w:b/>
          <w:iCs/>
        </w:rPr>
      </w:pPr>
    </w:p>
    <w:p w:rsidR="00000000" w:rsidRDefault="000E1CA1">
      <w:pPr>
        <w:ind w:left="902"/>
        <w:jc w:val="both"/>
        <w:rPr>
          <w:rFonts w:ascii="Arial" w:hAnsi="Arial"/>
          <w:b/>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rPr>
          <w:lang w:val="es-ES_tradnl"/>
        </w:rPr>
      </w:pPr>
    </w:p>
    <w:p w:rsidR="00000000" w:rsidRDefault="000E1CA1">
      <w:pPr>
        <w:pStyle w:val="Ttulo9"/>
        <w:jc w:val="center"/>
        <w:rPr>
          <w:i w:val="0"/>
          <w:iCs w:val="0"/>
        </w:rPr>
      </w:pPr>
      <w:r>
        <w:rPr>
          <w:i w:val="0"/>
          <w:iCs w:val="0"/>
        </w:rPr>
        <w:t>TABLA VI</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3</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3</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0.184</w:t>
            </w:r>
          </w:p>
        </w:tc>
        <w:tc>
          <w:tcPr>
            <w:tcW w:w="1418" w:type="dxa"/>
            <w:vAlign w:val="center"/>
          </w:tcPr>
          <w:p w:rsidR="00000000" w:rsidRDefault="000E1CA1">
            <w:pPr>
              <w:jc w:val="center"/>
              <w:rPr>
                <w:rFonts w:ascii="Arial" w:hAnsi="Arial"/>
                <w:snapToGrid w:val="0"/>
              </w:rPr>
            </w:pPr>
            <w:r>
              <w:rPr>
                <w:rFonts w:ascii="Arial" w:hAnsi="Arial"/>
                <w:snapToGrid w:val="0"/>
              </w:rPr>
              <w:t>0.</w:t>
            </w:r>
            <w:r>
              <w:rPr>
                <w:rFonts w:ascii="Arial" w:hAnsi="Arial"/>
                <w:snapToGrid w:val="0"/>
              </w:rPr>
              <w:t>367</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spacing w:line="480" w:lineRule="auto"/>
        <w:ind w:left="902"/>
        <w:jc w:val="both"/>
        <w:rPr>
          <w:rFonts w:ascii="Arial" w:hAnsi="Arial" w:cs="Arial"/>
        </w:rPr>
      </w:pPr>
      <w:r>
        <w:rPr>
          <w:rFonts w:ascii="Arial" w:hAnsi="Arial" w:cs="Arial"/>
        </w:rPr>
        <w:t>Visto el valor p podemos afirmar que existe evidencia estadística para no rechazar H</w:t>
      </w:r>
      <w:r>
        <w:rPr>
          <w:rFonts w:ascii="Arial" w:hAnsi="Arial" w:cs="Arial"/>
          <w:vertAlign w:val="subscript"/>
        </w:rPr>
        <w:t>o</w:t>
      </w:r>
      <w:r>
        <w:rPr>
          <w:rFonts w:ascii="Arial" w:hAnsi="Arial" w:cs="Arial"/>
        </w:rPr>
        <w:t>, de que los pasivos de las compañías de la región sierra es una variable aleatoria normal con media 267.9460 y una desviación estándar de 528.9615.</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3.3.4   </w:t>
      </w:r>
      <w:r>
        <w:rPr>
          <w:rFonts w:ascii="Arial" w:hAnsi="Arial" w:cs="Arial"/>
          <w:b/>
          <w:bCs/>
          <w:i w:val="0"/>
          <w:iCs w:val="0"/>
        </w:rPr>
        <w:t>Pat</w:t>
      </w:r>
      <w:r>
        <w:rPr>
          <w:rFonts w:ascii="Arial" w:hAnsi="Arial" w:cs="Arial"/>
          <w:b/>
          <w:bCs/>
          <w:i w:val="0"/>
          <w:iCs w:val="0"/>
        </w:rPr>
        <w:t xml:space="preserve">rimonios de las compañías </w:t>
      </w:r>
    </w:p>
    <w:p w:rsidR="00000000" w:rsidRDefault="000E1CA1">
      <w:pPr>
        <w:pStyle w:val="Sangra3detindependiente"/>
        <w:ind w:left="902"/>
        <w:jc w:val="both"/>
        <w:rPr>
          <w:rFonts w:cs="Arial"/>
        </w:rPr>
      </w:pPr>
      <w:r>
        <w:t>Esta variable representa a los patrimonios anuales globales de las compañías.  Es decir, el total de las compañías anónimas, de responsabilidad limitada, de economía mixta y sucursales extranjeras  en el período de 1.975 – 1.999.</w:t>
      </w:r>
      <w:r>
        <w:t xml:space="preserve">  A continuación se presenta la estadística descriptiva en la tabla.</w:t>
      </w:r>
    </w:p>
    <w:p w:rsidR="00000000" w:rsidRDefault="000E1CA1">
      <w:pPr>
        <w:pStyle w:val="Sangra3detindependiente"/>
        <w:spacing w:line="240" w:lineRule="auto"/>
        <w:ind w:left="902"/>
        <w:jc w:val="both"/>
        <w:rPr>
          <w:rFonts w:cs="Arial"/>
        </w:rPr>
      </w:pPr>
    </w:p>
    <w:p w:rsidR="00000000" w:rsidRDefault="000E1CA1">
      <w:pPr>
        <w:pStyle w:val="Ttulo1"/>
        <w:ind w:left="902"/>
        <w:jc w:val="center"/>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VII</w:t>
      </w: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PATRIMONIOS DE LAS COMPAÑÍAS DE LA REGIÓN SIERRA</w:t>
      </w:r>
    </w:p>
    <w:p w:rsidR="00000000" w:rsidRDefault="000E1CA1">
      <w:pPr>
        <w:ind w:left="902"/>
        <w:jc w:val="center"/>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-456.66</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598.64</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102.5112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284.6964</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w:t>
            </w:r>
            <w:r>
              <w:rPr>
                <w:rFonts w:ascii="Arial" w:hAnsi="Arial" w:cs="Arial"/>
              </w:rPr>
              <w:t>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81052.065</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-0.095</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-0.420</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VII nos muestra toda la información válida para un análisis.  Tenemos a la media anual que nos indica que en promedio 102.5112 millones de dólares ha sido el incremento de los patrimonios de las co</w:t>
      </w:r>
      <w:r>
        <w:rPr>
          <w:rFonts w:cs="Arial"/>
          <w:b w:val="0"/>
          <w:color w:val="auto"/>
          <w:sz w:val="24"/>
        </w:rPr>
        <w:t>mpañías de la región sierra.  La desviación estándar nos indica que los patrimonios de las compañías se desvía 284.6964 millones de dólares de la media anual.  En esta distribución los datos se encuentran sesgados a la izquierda con respecto a la media deb</w:t>
      </w:r>
      <w:r>
        <w:rPr>
          <w:rFonts w:cs="Arial"/>
          <w:b w:val="0"/>
          <w:color w:val="auto"/>
          <w:sz w:val="24"/>
        </w:rPr>
        <w:t xml:space="preserve">ido a que el coeficiente de sesgo es negativo (-0.095), en lo que respecta al coeficiente de kurtosis (-0.420) es platicúrtica.  Es decir más achatada que una distribución normal estándar. </w:t>
      </w: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XV que el patrimonio de las compañí</w:t>
      </w:r>
      <w:r>
        <w:rPr>
          <w:rFonts w:cs="Arial"/>
          <w:b w:val="0"/>
          <w:color w:val="auto"/>
          <w:sz w:val="24"/>
        </w:rPr>
        <w:t>as de la región sierra  ha sido un poco variable, el comportamiento creciente se puede atribuir a las inversiones que se realizan para incorporar una nueva compañía, se nota un acentuado crecimiento en 1.997.</w:t>
      </w:r>
    </w:p>
    <w:p w:rsidR="00000000" w:rsidRDefault="000E1CA1">
      <w:pPr>
        <w:spacing w:line="480" w:lineRule="auto"/>
        <w:ind w:left="902"/>
        <w:jc w:val="both"/>
        <w:rPr>
          <w:rFonts w:ascii="Arial" w:hAnsi="Arial" w:cs="Arial"/>
          <w:lang w:val="es-ES_tradnl"/>
        </w:rPr>
      </w:pPr>
      <w:r>
        <w:rPr>
          <w:rFonts w:ascii="Arial" w:hAnsi="Arial" w:cs="Arial"/>
          <w:noProof/>
          <w:sz w:val="20"/>
        </w:rPr>
        <w:pict>
          <v:rect id="_x0000_s1068" style="position:absolute;left:0;text-align:left;margin-left:48pt;margin-top:15.6pt;width:366pt;height:334.2pt;z-index:251632128"/>
        </w:pict>
      </w:r>
      <w:r>
        <w:rPr>
          <w:rFonts w:ascii="Arial" w:hAnsi="Arial" w:cs="Arial"/>
          <w:noProof/>
          <w:sz w:val="20"/>
        </w:rPr>
        <w:pict>
          <v:shape id="_x0000_s1078" type="#_x0000_t202" style="position:absolute;left:0;text-align:left;margin-left:60pt;margin-top:26.4pt;width:341.4pt;height:282.45pt;z-index:251642368" strokecolor="white">
            <v:textbox>
              <w:txbxContent>
                <w:p w:rsidR="00000000" w:rsidRDefault="00266E4B">
                  <w:r>
                    <w:rPr>
                      <w:noProof/>
                    </w:rPr>
                    <w:drawing>
                      <wp:inline distT="0" distB="0" distL="0" distR="0">
                        <wp:extent cx="4140200" cy="34925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xbxContent>
            </v:textbox>
          </v:shape>
        </w:pic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noProof/>
          <w:sz w:val="20"/>
        </w:rPr>
        <w:pict>
          <v:shape id="_x0000_s1085" type="#_x0000_t202" style="position:absolute;left:0;text-align:left;margin-left:54pt;margin-top:1.25pt;width:336pt;height:36pt;z-index:251649536" strokecolor="white">
            <v:textbox>
              <w:txbxContent>
                <w:p w:rsidR="00000000" w:rsidRDefault="000E1CA1">
                  <w:pPr>
                    <w:rPr>
                      <w:rFonts w:ascii="Arial" w:hAnsi="Arial" w:cs="Arial"/>
                    </w:rPr>
                  </w:pPr>
                  <w:r>
                    <w:rPr>
                      <w:rFonts w:ascii="Arial" w:hAnsi="Arial" w:cs="Arial"/>
                      <w:b/>
                      <w:bCs/>
                    </w:rPr>
                    <w:t>Gráfico XV.</w:t>
                  </w:r>
                  <w:r>
                    <w:rPr>
                      <w:rFonts w:ascii="Arial" w:hAnsi="Arial" w:cs="Arial"/>
                    </w:rPr>
                    <w:t xml:space="preserve">  Patrimonios de las compañías de la R.  Sierra</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lang w:val="es-ES_tradnl"/>
        </w:rPr>
        <w:t>A continuación se puede aprecia</w:t>
      </w:r>
      <w:r>
        <w:rPr>
          <w:rFonts w:ascii="Arial" w:hAnsi="Arial" w:cs="Arial"/>
          <w:lang w:val="es-ES_tradnl"/>
        </w:rPr>
        <w:t>r en el gráfico XVI la tasa de variación de los patrimonios, observamos un acentuado crecimiento en 1.979 y un decrecimiento en los años de 1.978, 1.982, 1.983, 1.988, 1.989, 1.998 y 1.999.</w: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noProof/>
          <w:sz w:val="20"/>
        </w:rPr>
        <w:pict>
          <v:shape id="_x0000_s1070" type="#_x0000_t202" style="position:absolute;left:0;text-align:left;margin-left:54pt;margin-top:25.8pt;width:347.4pt;height:376.95pt;z-index:251634176" strokecolor="white">
            <v:textbox>
              <w:txbxContent>
                <w:p w:rsidR="00000000" w:rsidRDefault="00266E4B">
                  <w:r>
                    <w:rPr>
                      <w:noProof/>
                    </w:rPr>
                    <w:drawing>
                      <wp:inline distT="0" distB="0" distL="0" distR="0">
                        <wp:extent cx="4216400" cy="46863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xbxContent>
            </v:textbox>
          </v:shape>
        </w:pict>
      </w:r>
      <w:r>
        <w:rPr>
          <w:rFonts w:ascii="Arial" w:hAnsi="Arial" w:cs="Arial"/>
          <w:noProof/>
          <w:sz w:val="20"/>
        </w:rPr>
        <w:pict>
          <v:rect id="_x0000_s1069" style="position:absolute;left:0;text-align:left;margin-left:42pt;margin-top:16.8pt;width:372pt;height:439.8pt;z-index:251633152"/>
        </w:pic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noProof/>
          <w:sz w:val="20"/>
        </w:rPr>
        <w:pict>
          <v:shape id="_x0000_s1086" type="#_x0000_t202" style="position:absolute;left:0;text-align:left;margin-left:60pt;margin-top:15.65pt;width:342pt;height:45pt;z-index:251650560" strokecolor="white">
            <v:textbox>
              <w:txbxContent>
                <w:p w:rsidR="00000000" w:rsidRDefault="000E1CA1">
                  <w:pPr>
                    <w:rPr>
                      <w:rFonts w:ascii="Arial" w:hAnsi="Arial" w:cs="Arial"/>
                    </w:rPr>
                  </w:pPr>
                  <w:r>
                    <w:rPr>
                      <w:rFonts w:ascii="Arial" w:hAnsi="Arial" w:cs="Arial"/>
                      <w:b/>
                      <w:bCs/>
                    </w:rPr>
                    <w:t>Gráfico XVI.</w:t>
                  </w:r>
                  <w:r>
                    <w:rPr>
                      <w:rFonts w:ascii="Arial" w:hAnsi="Arial" w:cs="Arial"/>
                    </w:rPr>
                    <w:t xml:space="preserve"> Variación de los patrimonios d</w:t>
                  </w:r>
                  <w:r>
                    <w:rPr>
                      <w:rFonts w:ascii="Arial" w:hAnsi="Arial" w:cs="Arial"/>
                    </w:rPr>
                    <w:t>e las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los </w:t>
      </w:r>
      <w:r>
        <w:rPr>
          <w:rFonts w:ascii="Arial" w:hAnsi="Arial"/>
          <w:iCs/>
        </w:rPr>
        <w:t>patrimonios de las compañías de la región sierra se ajustan a una distribución N ( 102.5112 ; 284.6964 )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pStyle w:val="Ttulo9"/>
        <w:jc w:val="left"/>
        <w:rPr>
          <w:i w:val="0"/>
          <w:iCs w:val="0"/>
        </w:rPr>
      </w:pPr>
    </w:p>
    <w:p w:rsidR="00000000" w:rsidRDefault="000E1CA1">
      <w:pPr>
        <w:pStyle w:val="Ttulo9"/>
        <w:ind w:left="3734" w:firstLine="514"/>
      </w:pPr>
      <w:r>
        <w:rPr>
          <w:i w:val="0"/>
          <w:iCs w:val="0"/>
        </w:rPr>
        <w:t>TABLA VIII</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4</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4</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0.133</w:t>
            </w:r>
          </w:p>
        </w:tc>
        <w:tc>
          <w:tcPr>
            <w:tcW w:w="1418" w:type="dxa"/>
            <w:vAlign w:val="center"/>
          </w:tcPr>
          <w:p w:rsidR="00000000" w:rsidRDefault="000E1CA1">
            <w:pPr>
              <w:jc w:val="center"/>
              <w:rPr>
                <w:rFonts w:ascii="Arial" w:hAnsi="Arial"/>
                <w:snapToGrid w:val="0"/>
              </w:rPr>
            </w:pPr>
            <w:r>
              <w:rPr>
                <w:rFonts w:ascii="Arial" w:hAnsi="Arial"/>
                <w:snapToGrid w:val="0"/>
              </w:rPr>
              <w:t>0.770</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rPr>
          <w:b/>
          <w:bCs/>
          <w:i/>
          <w:iCs/>
        </w:rPr>
      </w:pPr>
      <w:r>
        <w:t>Visto el valor p podemos afirmar que existe evidencia estadística para no rechazar H</w:t>
      </w:r>
      <w:r>
        <w:rPr>
          <w:vertAlign w:val="subscript"/>
        </w:rPr>
        <w:t>o</w:t>
      </w:r>
      <w:r>
        <w:t>, de que los patrimonios de las compañías de la región sierra es una variable aleatoria normal con media 102.5112 y una desviación estándar de 284.6964</w:t>
      </w:r>
      <w:r>
        <w:t>.</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3.3.5  </w:t>
      </w:r>
      <w:r>
        <w:rPr>
          <w:rFonts w:ascii="Arial" w:hAnsi="Arial" w:cs="Arial"/>
          <w:b/>
          <w:bCs/>
          <w:i w:val="0"/>
          <w:iCs w:val="0"/>
        </w:rPr>
        <w:t xml:space="preserve">Ventas de las compañías </w:t>
      </w:r>
    </w:p>
    <w:p w:rsidR="00000000" w:rsidRDefault="000E1CA1">
      <w:pPr>
        <w:pStyle w:val="Sangra3detindependiente"/>
        <w:ind w:left="902"/>
        <w:jc w:val="both"/>
        <w:rPr>
          <w:rFonts w:cs="Arial"/>
        </w:rPr>
      </w:pPr>
      <w:r>
        <w:t>Esta variable representa a las ventas anuales globales de las compañías.  Es decir, el total de las compañías anónimas, de responsabilidad limitada, de economía mixta y sucursales extranjeras  en el período de 1.975 – 1.</w:t>
      </w:r>
      <w:r>
        <w:t>999.  A continuación se presenta la estadística descriptiva en la tabla.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IX</w:t>
      </w: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VENTAS DE LAS COMPAÑÍAS DE LA REGIÓN SIERRA</w:t>
      </w: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-2605.58</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1488.69</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141.2724</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849.9985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w:t>
            </w:r>
            <w:r>
              <w:rPr>
                <w:rFonts w:ascii="Arial" w:hAnsi="Arial" w:cs="Arial"/>
              </w:rPr>
              <w:t>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722497.49</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-1.617</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3.707</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IX nos muestra toda la información válida para un análisis.  Tenemos a la media anual que nos indica que en promedio 141.2724 millones de dólares ha sido el incremento de las ventas de las compañías</w:t>
      </w:r>
      <w:r>
        <w:rPr>
          <w:rFonts w:cs="Arial"/>
          <w:b w:val="0"/>
          <w:color w:val="auto"/>
          <w:sz w:val="24"/>
        </w:rPr>
        <w:t xml:space="preserve"> de la región sierra.  La desviación estándar nos indica que el patrimonio de las compañías  se desvía 849.9985 millones de dólares de la media anual.  En esta distribución los datos se encuentran sesgados a la izquierda con respecto a la media debido a qu</w:t>
      </w:r>
      <w:r>
        <w:rPr>
          <w:rFonts w:cs="Arial"/>
          <w:b w:val="0"/>
          <w:color w:val="auto"/>
          <w:sz w:val="24"/>
        </w:rPr>
        <w:t xml:space="preserve">e el coeficiente de sesgo es negativo (-1.617), en lo que respecta al coeficiente de kurtosis (3.707) es leptocúrtica.  Es decir más picuda que una distribución normal estándar. </w:t>
      </w: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angradetextonormal"/>
        <w:spacing w:line="480" w:lineRule="auto"/>
        <w:ind w:left="902"/>
        <w:rPr>
          <w:bCs/>
        </w:rPr>
      </w:pPr>
      <w:r>
        <w:rPr>
          <w:bCs/>
        </w:rPr>
        <w:t>Podemos notar en el gráfico XVII que las ventas de las compañías de la reg</w:t>
      </w:r>
      <w:r>
        <w:rPr>
          <w:bCs/>
        </w:rPr>
        <w:t>ión sierra  ha mantenido a lo largo del tiempo un índice de crecimiento inestable; pero notándose un crecimiento en los años de 1.997 y 1.998.</w:t>
      </w:r>
    </w:p>
    <w:p w:rsidR="00000000" w:rsidRDefault="000E1CA1">
      <w:pPr>
        <w:spacing w:line="480" w:lineRule="auto"/>
        <w:ind w:left="902"/>
        <w:jc w:val="both"/>
        <w:rPr>
          <w:rFonts w:ascii="Arial" w:hAnsi="Arial" w:cs="Arial"/>
        </w:rPr>
      </w:pPr>
      <w:r>
        <w:rPr>
          <w:rFonts w:ascii="Arial" w:hAnsi="Arial" w:cs="Arial"/>
          <w:noProof/>
          <w:sz w:val="20"/>
        </w:rPr>
        <w:pict>
          <v:rect id="_x0000_s1071" style="position:absolute;left:0;text-align:left;margin-left:48pt;margin-top:9pt;width:366pt;height:378pt;z-index:251635200"/>
        </w:pict>
      </w:r>
      <w:r>
        <w:rPr>
          <w:rFonts w:ascii="Arial" w:hAnsi="Arial" w:cs="Arial"/>
          <w:noProof/>
          <w:sz w:val="20"/>
        </w:rPr>
        <w:pict>
          <v:shape id="_x0000_s1079" type="#_x0000_t202" style="position:absolute;left:0;text-align:left;margin-left:54pt;margin-top:17.4pt;width:354.15pt;height:327.95pt;z-index:251643392" strokecolor="white">
            <v:textbox>
              <w:txbxContent>
                <w:p w:rsidR="00000000" w:rsidRDefault="00266E4B">
                  <w:r>
                    <w:rPr>
                      <w:noProof/>
                    </w:rPr>
                    <w:drawing>
                      <wp:inline distT="0" distB="0" distL="0" distR="0">
                        <wp:extent cx="4305300" cy="40640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xbxContent>
            </v:textbox>
          </v:shape>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noProof/>
          <w:sz w:val="20"/>
        </w:rPr>
        <w:pict>
          <v:shape id="_x0000_s1087" type="#_x0000_t202" style="position:absolute;left:0;text-align:left;margin-left:60pt;margin-top:10.85pt;width:336pt;height:36.6pt;z-index:251651584" strokecolor="white">
            <v:textbox>
              <w:txbxContent>
                <w:p w:rsidR="00000000" w:rsidRDefault="000E1CA1">
                  <w:pPr>
                    <w:rPr>
                      <w:rFonts w:ascii="Arial" w:hAnsi="Arial" w:cs="Arial"/>
                    </w:rPr>
                  </w:pPr>
                  <w:r>
                    <w:rPr>
                      <w:rFonts w:ascii="Arial" w:hAnsi="Arial" w:cs="Arial"/>
                      <w:b/>
                      <w:bCs/>
                    </w:rPr>
                    <w:t>Gráfico XVII.</w:t>
                  </w:r>
                  <w:r>
                    <w:rPr>
                      <w:rFonts w:ascii="Arial" w:hAnsi="Arial" w:cs="Arial"/>
                    </w:rPr>
                    <w:t xml:space="preserve">  Ventas de las compañías de la Región Sierra</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A continuación en el gráfico XVIII apreciamos la tasa de variación de las ventas a lo largo del </w:t>
      </w:r>
      <w:r>
        <w:rPr>
          <w:rFonts w:ascii="Arial" w:hAnsi="Arial" w:cs="Arial"/>
        </w:rPr>
        <w:t>tiempo, notándose un decremento en los años de 1.982, 1.983, 1.988. 1.998 y 1.999.</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noProof/>
          <w:sz w:val="20"/>
        </w:rPr>
        <w:pict>
          <v:shape id="_x0000_s1073" type="#_x0000_t202" style="position:absolute;left:0;text-align:left;margin-left:48pt;margin-top:16.2pt;width:354.15pt;height:376.95pt;z-index:251637248" strokecolor="white">
            <v:textbox>
              <w:txbxContent>
                <w:p w:rsidR="00000000" w:rsidRDefault="00266E4B">
                  <w:r>
                    <w:rPr>
                      <w:noProof/>
                    </w:rPr>
                    <w:drawing>
                      <wp:inline distT="0" distB="0" distL="0" distR="0">
                        <wp:extent cx="4305300" cy="46863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xbxContent>
            </v:textbox>
          </v:shape>
        </w:pict>
      </w:r>
      <w:r>
        <w:rPr>
          <w:rFonts w:ascii="Arial" w:hAnsi="Arial" w:cs="Arial"/>
          <w:noProof/>
          <w:sz w:val="20"/>
        </w:rPr>
        <w:pict>
          <v:rect id="_x0000_s1072" style="position:absolute;left:0;text-align:left;margin-left:42pt;margin-top:7.2pt;width:372pt;height:430.8pt;z-index:251636224"/>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noProof/>
          <w:sz w:val="20"/>
        </w:rPr>
        <w:pict>
          <v:shape id="_x0000_s1088" type="#_x0000_t202" style="position:absolute;left:0;text-align:left;margin-left:54pt;margin-top:6.65pt;width:336pt;height:36pt;z-index:251652608" strokecolor="white">
            <v:textbox>
              <w:txbxContent>
                <w:p w:rsidR="00000000" w:rsidRDefault="000E1CA1">
                  <w:pPr>
                    <w:rPr>
                      <w:rFonts w:ascii="Arial" w:hAnsi="Arial" w:cs="Arial"/>
                    </w:rPr>
                  </w:pPr>
                  <w:r>
                    <w:rPr>
                      <w:rFonts w:ascii="Arial" w:hAnsi="Arial" w:cs="Arial"/>
                      <w:b/>
                      <w:bCs/>
                    </w:rPr>
                    <w:t>Gráfico XVIII.</w:t>
                  </w:r>
                  <w:r>
                    <w:rPr>
                      <w:rFonts w:ascii="Arial" w:hAnsi="Arial" w:cs="Arial"/>
                    </w:rPr>
                    <w:t xml:space="preserve">  Variación de ventas de la</w:t>
                  </w:r>
                  <w:r>
                    <w:rPr>
                      <w:rFonts w:ascii="Arial" w:hAnsi="Arial" w:cs="Arial"/>
                    </w:rPr>
                    <w:t>s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ventas de las compañías de la región sierra  se ajustan a una distribución N ( 141.2724 ; 849.9985 )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pStyle w:val="Ttulo9"/>
        <w:jc w:val="left"/>
      </w:pPr>
    </w:p>
    <w:p w:rsidR="00000000" w:rsidRDefault="000E1CA1">
      <w:pPr>
        <w:pStyle w:val="Ttulo9"/>
        <w:jc w:val="center"/>
        <w:rPr>
          <w:i w:val="0"/>
          <w:iCs w:val="0"/>
        </w:rPr>
      </w:pPr>
      <w:r>
        <w:rPr>
          <w:i w:val="0"/>
          <w:iCs w:val="0"/>
        </w:rPr>
        <w:t>TABLA X</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5</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5</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0.237</w:t>
            </w:r>
          </w:p>
        </w:tc>
        <w:tc>
          <w:tcPr>
            <w:tcW w:w="1418" w:type="dxa"/>
            <w:vAlign w:val="center"/>
          </w:tcPr>
          <w:p w:rsidR="00000000" w:rsidRDefault="000E1CA1">
            <w:pPr>
              <w:jc w:val="center"/>
              <w:rPr>
                <w:rFonts w:ascii="Arial" w:hAnsi="Arial"/>
                <w:snapToGrid w:val="0"/>
              </w:rPr>
            </w:pPr>
            <w:r>
              <w:rPr>
                <w:rFonts w:ascii="Arial" w:hAnsi="Arial"/>
                <w:snapToGrid w:val="0"/>
              </w:rPr>
              <w:t>0.121</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de que las</w:t>
      </w:r>
      <w:r>
        <w:t xml:space="preserve"> ventas de las compañías de la región sierra es una variable aleatoria normal con media 141.2724 y una desviación estándar de 849.9985.</w:t>
      </w:r>
    </w:p>
    <w:p w:rsidR="00000000" w:rsidRDefault="000E1CA1">
      <w:pPr>
        <w:pStyle w:val="Ttulo1"/>
        <w:ind w:left="902"/>
        <w:rPr>
          <w:rFonts w:ascii="Arial" w:hAnsi="Arial" w:cs="Arial"/>
          <w:b/>
          <w:bCs/>
          <w:i w:val="0"/>
          <w:iCs w:val="0"/>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3.3.6  </w:t>
      </w:r>
      <w:r>
        <w:rPr>
          <w:rFonts w:ascii="Arial" w:hAnsi="Arial" w:cs="Arial"/>
          <w:b/>
          <w:bCs/>
          <w:i w:val="0"/>
          <w:iCs w:val="0"/>
        </w:rPr>
        <w:t xml:space="preserve"> Razón de endeudamiento </w:t>
      </w:r>
    </w:p>
    <w:p w:rsidR="00000000" w:rsidRDefault="000E1CA1">
      <w:pPr>
        <w:pStyle w:val="Sangra3detindependiente"/>
        <w:ind w:left="902"/>
        <w:jc w:val="both"/>
        <w:rPr>
          <w:rFonts w:cs="Arial"/>
        </w:rPr>
      </w:pPr>
      <w:r>
        <w:t>Esta variable representa a los pasivos totales sobre los activos totales anuales glob</w:t>
      </w:r>
      <w:r>
        <w:t>ales de compañías.  Es decir, el total de las compañías anónimas, de responsabilidad limitada, de economía mixta y sucursales extranjeras  en el período de 1.975 – 1.999.  A continuación se presenta en la tabla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XI</w:t>
      </w:r>
    </w:p>
    <w:p w:rsidR="00000000" w:rsidRDefault="000E1CA1">
      <w:pPr>
        <w:pStyle w:val="Ttulo2"/>
        <w:jc w:val="center"/>
        <w:rPr>
          <w:lang w:val="es-ES_tradnl"/>
        </w:rPr>
      </w:pPr>
      <w:r>
        <w:t>RAZÓ</w:t>
      </w:r>
      <w:r>
        <w:t>N DE ENDEUDAMIENTO DE LAS COMPAÑÍAS</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0.57</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0.76</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0.662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0.041</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0.0017</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0.346</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0.648</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 xml:space="preserve">La tabla XI nos muestra toda la información válida para un </w:t>
      </w:r>
      <w:r>
        <w:rPr>
          <w:rFonts w:cs="Arial"/>
          <w:b w:val="0"/>
          <w:color w:val="auto"/>
          <w:sz w:val="24"/>
        </w:rPr>
        <w:t>análisis.  Tenemos a la media anual que nos indica que el promedio de la razón de endeudamiento es de 0.662 con una desviación estándar de 0.041.  En esta distribución los datos se encuentran sesgados a la derecha con respecto a la media debido a que el co</w:t>
      </w:r>
      <w:r>
        <w:rPr>
          <w:rFonts w:cs="Arial"/>
          <w:b w:val="0"/>
          <w:color w:val="auto"/>
          <w:sz w:val="24"/>
        </w:rPr>
        <w:t xml:space="preserve">eficiente de sesgo es positivo(0.346), en lo que respecta al coeficiente de kurtosis (0.648) es leptocúrtica.  Es decir más picuda que una distribución normal estándar. </w:t>
      </w:r>
    </w:p>
    <w:p w:rsidR="00000000" w:rsidRDefault="000E1CA1">
      <w:pPr>
        <w:pStyle w:val="Subttulo"/>
        <w:ind w:left="851"/>
      </w:pPr>
    </w:p>
    <w:p w:rsidR="00000000" w:rsidRDefault="000E1CA1">
      <w:pPr>
        <w:pStyle w:val="Subttulo"/>
        <w:ind w:left="851"/>
      </w:pPr>
    </w:p>
    <w:p w:rsidR="00000000" w:rsidRDefault="000E1CA1">
      <w:pPr>
        <w:pStyle w:val="Subttulo"/>
        <w:ind w:left="851"/>
        <w:rPr>
          <w:b w:val="0"/>
          <w:bCs/>
          <w:color w:val="000000"/>
          <w:sz w:val="24"/>
        </w:rPr>
      </w:pPr>
      <w:r>
        <w:t xml:space="preserve"> </w:t>
      </w:r>
    </w:p>
    <w:p w:rsidR="00000000" w:rsidRDefault="000E1CA1">
      <w:pPr>
        <w:pStyle w:val="Sangradetextonormal"/>
        <w:spacing w:line="480" w:lineRule="auto"/>
        <w:ind w:left="902"/>
        <w:rPr>
          <w:bCs/>
        </w:rPr>
      </w:pPr>
      <w:r>
        <w:rPr>
          <w:bCs/>
        </w:rPr>
        <w:t>Podemos notar en el gráfico XIX que la razón de endeudamiento ha sido un poco esta</w:t>
      </w:r>
      <w:r>
        <w:rPr>
          <w:bCs/>
        </w:rPr>
        <w:t>ble a lo largo del tiempo.</w:t>
      </w:r>
    </w:p>
    <w:p w:rsidR="00000000" w:rsidRDefault="000E1CA1">
      <w:pPr>
        <w:pStyle w:val="Sangradetextonormal"/>
        <w:rPr>
          <w:bCs/>
        </w:rPr>
      </w:pPr>
    </w:p>
    <w:p w:rsidR="00000000" w:rsidRDefault="000E1CA1">
      <w:pPr>
        <w:pStyle w:val="Sangradetextonormal"/>
        <w:rPr>
          <w:bCs/>
        </w:rPr>
      </w:pPr>
    </w:p>
    <w:p w:rsidR="00000000" w:rsidRDefault="000E1CA1">
      <w:pPr>
        <w:spacing w:line="480" w:lineRule="auto"/>
        <w:ind w:left="902"/>
        <w:jc w:val="both"/>
        <w:rPr>
          <w:rFonts w:ascii="Arial" w:hAnsi="Arial" w:cs="Arial"/>
          <w:bCs/>
        </w:rPr>
      </w:pPr>
      <w:r>
        <w:rPr>
          <w:rFonts w:ascii="Arial" w:hAnsi="Arial" w:cs="Arial"/>
          <w:bCs/>
          <w:noProof/>
          <w:sz w:val="20"/>
        </w:rPr>
        <w:pict>
          <v:shape id="_x0000_s1080" type="#_x0000_t202" style="position:absolute;left:0;text-align:left;margin-left:54pt;margin-top:22.6pt;width:354.15pt;height:342.95pt;z-index:251644416" strokecolor="white">
            <v:textbox>
              <w:txbxContent>
                <w:p w:rsidR="00000000" w:rsidRDefault="00266E4B">
                  <w:r>
                    <w:rPr>
                      <w:noProof/>
                    </w:rPr>
                    <w:drawing>
                      <wp:inline distT="0" distB="0" distL="0" distR="0">
                        <wp:extent cx="4305300" cy="42545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xbxContent>
            </v:textbox>
          </v:shape>
        </w:pict>
      </w:r>
      <w:r>
        <w:rPr>
          <w:rFonts w:ascii="Arial" w:hAnsi="Arial" w:cs="Arial"/>
          <w:bCs/>
          <w:noProof/>
          <w:sz w:val="20"/>
        </w:rPr>
        <w:pict>
          <v:rect id="_x0000_s1074" style="position:absolute;left:0;text-align:left;margin-left:48pt;margin-top:14.2pt;width:366pt;height:396pt;z-index:251638272"/>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noProof/>
          <w:sz w:val="20"/>
        </w:rPr>
        <w:pict>
          <v:shape id="_x0000_s1089" type="#_x0000_t202" style="position:absolute;left:0;text-align:left;margin-left:60pt;margin-top:5.85pt;width:330pt;height:36pt;z-index:251653632" strokecolor="white">
            <v:textbox>
              <w:txbxContent>
                <w:p w:rsidR="00000000" w:rsidRDefault="000E1CA1">
                  <w:pPr>
                    <w:rPr>
                      <w:rFonts w:ascii="Arial" w:hAnsi="Arial" w:cs="Arial"/>
                    </w:rPr>
                  </w:pPr>
                  <w:r>
                    <w:rPr>
                      <w:rFonts w:ascii="Arial" w:hAnsi="Arial" w:cs="Arial"/>
                      <w:b/>
                      <w:bCs/>
                    </w:rPr>
                    <w:t>Gráfico XIX.</w:t>
                  </w:r>
                  <w:r>
                    <w:rPr>
                      <w:rFonts w:ascii="Arial" w:hAnsi="Arial" w:cs="Arial"/>
                    </w:rPr>
                    <w:t xml:space="preserve">  Endeudamiento de las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spacing w:line="480" w:lineRule="auto"/>
        <w:ind w:left="902"/>
        <w:jc w:val="both"/>
        <w:rPr>
          <w:rFonts w:ascii="Arial" w:hAnsi="Arial" w:cs="Aria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la razón endeudamiento del total de compañías de la región sierra se ajustan a una distribución N (0.662; 0.041 )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902"/>
        <w:jc w:val="center"/>
        <w:rPr>
          <w:rFonts w:ascii="Arial" w:hAnsi="Arial"/>
          <w:iCs/>
        </w:rPr>
      </w:pPr>
      <w:r>
        <w:rPr>
          <w:rFonts w:ascii="Arial" w:hAnsi="Arial"/>
          <w:iCs/>
        </w:rPr>
        <w:t>Vs.</w:t>
      </w:r>
    </w:p>
    <w:p w:rsidR="00000000" w:rsidRDefault="000E1CA1">
      <w:pPr>
        <w:ind w:left="902"/>
        <w:jc w:val="center"/>
        <w:rPr>
          <w:rFonts w:ascii="Arial" w:hAnsi="Arial"/>
          <w:iCs/>
        </w:rPr>
      </w:pPr>
    </w:p>
    <w:p w:rsidR="00000000" w:rsidRDefault="000E1CA1">
      <w:pPr>
        <w:ind w:left="902"/>
        <w:jc w:val="center"/>
        <w:rPr>
          <w:rFonts w:ascii="Arial" w:hAnsi="Arial"/>
          <w:iCs/>
        </w:rPr>
      </w:pPr>
    </w:p>
    <w:p w:rsidR="00000000" w:rsidRDefault="000E1CA1">
      <w:pPr>
        <w:spacing w:line="480" w:lineRule="auto"/>
        <w:ind w:left="851"/>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pStyle w:val="Ttulo9"/>
        <w:jc w:val="left"/>
      </w:pPr>
    </w:p>
    <w:p w:rsidR="00000000" w:rsidRDefault="000E1CA1">
      <w:pPr>
        <w:pStyle w:val="Ttulo9"/>
        <w:jc w:val="center"/>
        <w:rPr>
          <w:i w:val="0"/>
          <w:iCs w:val="0"/>
        </w:rPr>
      </w:pPr>
      <w:r>
        <w:rPr>
          <w:i w:val="0"/>
          <w:iCs w:val="0"/>
        </w:rPr>
        <w:t>TABLA XII</w:t>
      </w:r>
    </w:p>
    <w:p w:rsidR="00000000" w:rsidRDefault="000E1CA1">
      <w:pPr>
        <w:ind w:left="902"/>
        <w:jc w:val="center"/>
        <w:rPr>
          <w:rFonts w:ascii="Arial" w:hAnsi="Arial"/>
          <w:b/>
        </w:rPr>
      </w:pPr>
      <w:r>
        <w:rPr>
          <w:rFonts w:ascii="Arial" w:hAnsi="Arial"/>
          <w:b/>
        </w:rPr>
        <w:t>PRUEBA DE KOL</w:t>
      </w:r>
      <w:r>
        <w:rPr>
          <w:rFonts w:ascii="Arial" w:hAnsi="Arial"/>
          <w:b/>
        </w:rPr>
        <w:t>MOGOROV PARA X</w:t>
      </w:r>
      <w:r>
        <w:rPr>
          <w:rFonts w:ascii="Arial" w:hAnsi="Arial"/>
          <w:b/>
          <w:vertAlign w:val="subscript"/>
        </w:rPr>
        <w:t>6</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6</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0.159</w:t>
            </w:r>
          </w:p>
        </w:tc>
        <w:tc>
          <w:tcPr>
            <w:tcW w:w="1418" w:type="dxa"/>
            <w:vAlign w:val="center"/>
          </w:tcPr>
          <w:p w:rsidR="00000000" w:rsidRDefault="000E1CA1">
            <w:pPr>
              <w:jc w:val="center"/>
              <w:rPr>
                <w:rFonts w:ascii="Arial" w:hAnsi="Arial"/>
                <w:snapToGrid w:val="0"/>
              </w:rPr>
            </w:pPr>
            <w:r>
              <w:rPr>
                <w:rFonts w:ascii="Arial" w:hAnsi="Arial"/>
                <w:snapToGrid w:val="0"/>
              </w:rPr>
              <w:t>0.550</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de que la razón de endeudamiento es una variable alea</w:t>
      </w:r>
      <w:r>
        <w:t xml:space="preserve">toria normal con media 0.662 y una desviación estándar de 0.041.  </w:t>
      </w:r>
    </w:p>
    <w:p w:rsidR="00000000" w:rsidRDefault="000E1CA1"/>
    <w:p w:rsidR="00000000" w:rsidRDefault="000E1CA1"/>
    <w:p w:rsidR="00000000" w:rsidRDefault="000E1CA1"/>
    <w:p w:rsidR="00000000" w:rsidRDefault="000E1CA1"/>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3.3.7  Razón de participación en deudas</w:t>
      </w:r>
    </w:p>
    <w:p w:rsidR="00000000" w:rsidRDefault="000E1CA1">
      <w:pPr>
        <w:pStyle w:val="Sangra3detindependiente"/>
        <w:ind w:left="902"/>
        <w:jc w:val="both"/>
        <w:rPr>
          <w:rFonts w:cs="Arial"/>
        </w:rPr>
      </w:pPr>
      <w:r>
        <w:t>Esta variable representa a los patrimonios totales sobre los pasivos totales anuales globales de las compañías.  Es decir, el total de las compañ</w:t>
      </w:r>
      <w:r>
        <w:t>ías anónimas, de responsabilidad limitada, de economía mixta y sucursales extranjeras  en el período de 1.975 – 1.999.  A continuación se presenta en la tabla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rPr>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XIII</w:t>
      </w:r>
    </w:p>
    <w:p w:rsidR="00000000" w:rsidRDefault="000E1CA1">
      <w:pPr>
        <w:pStyle w:val="Ttulo2"/>
        <w:jc w:val="center"/>
        <w:rPr>
          <w:lang w:val="es-ES_tradnl"/>
        </w:rPr>
      </w:pPr>
      <w:r>
        <w:t>RAZÓN  DE PARTICIPACIÓN EN DEUDAS</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Tamaño de la mues</w:t>
            </w:r>
            <w:r>
              <w:rPr>
                <w:rFonts w:ascii="Arial" w:hAnsi="Arial" w:cs="Arial"/>
              </w:rPr>
              <w:t xml:space="preserve">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0.31</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0.75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0.5188</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0.097</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0.0094</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-0.005</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0.457</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XIII nos muestra toda la información válida para un análisis.  Tenemos a la media anual que nos indica q</w:t>
      </w:r>
      <w:r>
        <w:rPr>
          <w:rFonts w:cs="Arial"/>
          <w:b w:val="0"/>
          <w:color w:val="auto"/>
          <w:sz w:val="24"/>
        </w:rPr>
        <w:t>ue el promedio de la razón de participación en deudas es de 0.5188 con una desviación estándar de 0.097.  En esta distribución los datos se encuentran sesgados a la izquierda con respecto a la media debido a que el coeficiente de sesgo es negativo (-0.005)</w:t>
      </w:r>
      <w:r>
        <w:rPr>
          <w:rFonts w:cs="Arial"/>
          <w:b w:val="0"/>
          <w:color w:val="auto"/>
          <w:sz w:val="24"/>
        </w:rPr>
        <w:t xml:space="preserve">, en lo que respecta al coeficiente de kurtosis (0.457) es leptocúrtica.  Es decir más picuda que una distribución normal estándar. </w:t>
      </w:r>
    </w:p>
    <w:p w:rsidR="00000000" w:rsidRDefault="000E1CA1">
      <w:pPr>
        <w:pStyle w:val="Subttulo"/>
        <w:ind w:left="851"/>
      </w:pPr>
    </w:p>
    <w:p w:rsidR="00000000" w:rsidRDefault="000E1CA1">
      <w:pPr>
        <w:pStyle w:val="Subttulo"/>
        <w:ind w:left="851"/>
      </w:pPr>
    </w:p>
    <w:p w:rsidR="00000000" w:rsidRDefault="000E1CA1">
      <w:pPr>
        <w:pStyle w:val="Subttulo"/>
        <w:ind w:left="851"/>
        <w:rPr>
          <w:b w:val="0"/>
          <w:bCs/>
          <w:color w:val="000000"/>
          <w:sz w:val="24"/>
        </w:rPr>
      </w:pPr>
      <w:r>
        <w:t xml:space="preserve"> </w:t>
      </w: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 que la razón de participación de deuda ha mantenido un crecimiento inestable; pero notán</w:t>
      </w:r>
      <w:r>
        <w:rPr>
          <w:rFonts w:cs="Arial"/>
          <w:b w:val="0"/>
          <w:color w:val="auto"/>
          <w:sz w:val="24"/>
        </w:rPr>
        <w:t>dose un acentuado crecimiento en 1.992, se puede decir que el crecimiento de esta razón depende de la inversión de los acreedores ya que aumentan el patrimonio.</w:t>
      </w: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81" type="#_x0000_t202" style="position:absolute;margin-left:54pt;margin-top:12.4pt;width:347.15pt;height:300.95pt;z-index:251645440" strokecolor="white">
            <v:textbox>
              <w:txbxContent>
                <w:p w:rsidR="00000000" w:rsidRDefault="00266E4B">
                  <w:r>
                    <w:rPr>
                      <w:noProof/>
                    </w:rPr>
                    <w:drawing>
                      <wp:inline distT="0" distB="0" distL="0" distR="0">
                        <wp:extent cx="4216400" cy="37211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xbxContent>
            </v:textbox>
          </v:shape>
        </w:pict>
      </w:r>
      <w:r>
        <w:rPr>
          <w:noProof/>
          <w:sz w:val="20"/>
        </w:rPr>
        <w:pict>
          <v:rect id="_x0000_s1075" style="position:absolute;margin-left:48pt;margin-top:.4pt;width:5in;height:354pt;z-index:251639296"/>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90" type="#_x0000_t202" style="position:absolute;margin-left:60pt;margin-top:5.85pt;width:336pt;height:36pt;z-index:251654656" strokecolor="white">
            <v:textbox>
              <w:txbxContent>
                <w:p w:rsidR="00000000" w:rsidRDefault="000E1CA1">
                  <w:pPr>
                    <w:rPr>
                      <w:rFonts w:ascii="Arial" w:hAnsi="Arial" w:cs="Arial"/>
                    </w:rPr>
                  </w:pPr>
                  <w:r>
                    <w:rPr>
                      <w:rFonts w:ascii="Arial" w:hAnsi="Arial" w:cs="Arial"/>
                      <w:b/>
                      <w:bCs/>
                    </w:rPr>
                    <w:t>Gráfico XX.</w:t>
                  </w:r>
                  <w:r>
                    <w:rPr>
                      <w:rFonts w:ascii="Arial" w:hAnsi="Arial" w:cs="Arial"/>
                    </w:rPr>
                    <w:t xml:space="preserve">  Participación en deudas de las compañías</w:t>
                  </w:r>
                </w:p>
                <w:p w:rsidR="00000000" w:rsidRDefault="000E1CA1">
                  <w:r>
                    <w:rPr>
                      <w:rFonts w:ascii="Arial" w:hAnsi="Arial" w:cs="Arial"/>
                      <w:b/>
                      <w:bCs/>
                    </w:rPr>
                    <w:t>Fuent</w:t>
                  </w:r>
                  <w:r>
                    <w:rPr>
                      <w:rFonts w:ascii="Arial" w:hAnsi="Arial" w:cs="Arial"/>
                      <w:b/>
                      <w:bCs/>
                    </w:rPr>
                    <w: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razón de participación e</w:t>
      </w:r>
      <w:r>
        <w:rPr>
          <w:rFonts w:ascii="Arial" w:hAnsi="Arial"/>
          <w:iCs/>
        </w:rPr>
        <w:t>n deudas  se ajustan a una distribución N ( 0.5188 ; 0.097 )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pPr>
    </w:p>
    <w:p w:rsidR="00000000" w:rsidRDefault="000E1CA1">
      <w:pPr>
        <w:rPr>
          <w:lang w:val="es-ES_tradnl"/>
        </w:rPr>
      </w:pPr>
    </w:p>
    <w:p w:rsidR="00000000" w:rsidRDefault="000E1CA1">
      <w:pPr>
        <w:rPr>
          <w:lang w:val="es-ES_tradnl"/>
        </w:rPr>
      </w:pPr>
    </w:p>
    <w:p w:rsidR="00000000" w:rsidRDefault="000E1CA1">
      <w:pPr>
        <w:pStyle w:val="Ttulo9"/>
        <w:jc w:val="center"/>
        <w:rPr>
          <w:i w:val="0"/>
          <w:iCs w:val="0"/>
        </w:rPr>
      </w:pPr>
      <w:r>
        <w:rPr>
          <w:i w:val="0"/>
          <w:iCs w:val="0"/>
        </w:rPr>
        <w:t>TABLA XIV</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7</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7</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0.104</w:t>
            </w:r>
          </w:p>
        </w:tc>
        <w:tc>
          <w:tcPr>
            <w:tcW w:w="1418" w:type="dxa"/>
            <w:vAlign w:val="center"/>
          </w:tcPr>
          <w:p w:rsidR="00000000" w:rsidRDefault="000E1CA1">
            <w:pPr>
              <w:jc w:val="center"/>
              <w:rPr>
                <w:rFonts w:ascii="Arial" w:hAnsi="Arial"/>
                <w:snapToGrid w:val="0"/>
              </w:rPr>
            </w:pPr>
            <w:r>
              <w:rPr>
                <w:rFonts w:ascii="Arial" w:hAnsi="Arial"/>
                <w:snapToGrid w:val="0"/>
              </w:rPr>
              <w:t>0.950</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 xml:space="preserve">Visto el valor p podemos </w:t>
      </w:r>
      <w:r>
        <w:t>afirmar que existe evidencia estadística para no rechazar H</w:t>
      </w:r>
      <w:r>
        <w:rPr>
          <w:vertAlign w:val="subscript"/>
        </w:rPr>
        <w:t>o</w:t>
      </w:r>
      <w:r>
        <w:t xml:space="preserve">, de que la razón de participación en deudas es una variable aleatoria normal con media 0.5188 y una desviación estándar de 0.097.  </w:t>
      </w:r>
    </w:p>
    <w:p w:rsidR="00000000" w:rsidRDefault="000E1CA1"/>
    <w:p w:rsidR="00000000" w:rsidRDefault="000E1CA1"/>
    <w:p w:rsidR="00000000" w:rsidRDefault="000E1CA1"/>
    <w:p w:rsidR="00000000" w:rsidRDefault="000E1CA1"/>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3.3.8  </w:t>
      </w:r>
      <w:r>
        <w:rPr>
          <w:rFonts w:ascii="Arial" w:hAnsi="Arial" w:cs="Arial"/>
          <w:b/>
          <w:bCs/>
          <w:i w:val="0"/>
          <w:iCs w:val="0"/>
        </w:rPr>
        <w:t xml:space="preserve"> Razón de participación accionaria</w:t>
      </w:r>
    </w:p>
    <w:p w:rsidR="00000000" w:rsidRDefault="000E1CA1">
      <w:pPr>
        <w:pStyle w:val="Sangra3detindependiente"/>
        <w:ind w:left="902"/>
        <w:jc w:val="both"/>
        <w:rPr>
          <w:rFonts w:cs="Arial"/>
        </w:rPr>
      </w:pPr>
      <w:r>
        <w:t>Esta variable rep</w:t>
      </w:r>
      <w:r>
        <w:t>resenta a los patrimonios totales sobre los activos totales anuales globales de las compañías.  Es decir, el total de las compañías anónimas, de responsabilidad limitada, de economía mixta y sucursales extranjeras  en el período de 1.975 – 1.999.  A contin</w:t>
      </w:r>
      <w:r>
        <w:t>uación se presenta en la tabla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XV</w:t>
      </w:r>
    </w:p>
    <w:p w:rsidR="00000000" w:rsidRDefault="000E1CA1">
      <w:pPr>
        <w:pStyle w:val="Ttulo2"/>
        <w:jc w:val="center"/>
        <w:rPr>
          <w:lang w:val="es-ES_tradnl"/>
        </w:rPr>
      </w:pPr>
      <w:r>
        <w:t>RAZÓN DE PARTICIPACIÓN ACCIONARIA</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0.24</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0.43</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0.34</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0.042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0.0018</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-0.386</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0.365</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XV nos muestra toda la información válida para un análisis.  Tenemos a la media anual que nos indica que el promedio de la razón de participación accionaria es de 0.34 con una desviación estándar de 0.042.  En esta distribución los datos</w:t>
      </w:r>
      <w:r>
        <w:rPr>
          <w:rFonts w:cs="Arial"/>
          <w:b w:val="0"/>
          <w:color w:val="auto"/>
          <w:sz w:val="24"/>
        </w:rPr>
        <w:t xml:space="preserve"> se encuentran sesgados a la izquierda con respecto a la media debido a que el coeficiente de sesgo es negativo (-0.386), en lo que respecta al coeficiente de kurtosis (0.365) es leptocúrtica.  Es decir más picuda que una distribución normal estándar. </w:t>
      </w:r>
    </w:p>
    <w:p w:rsidR="00000000" w:rsidRDefault="000E1CA1">
      <w:pPr>
        <w:pStyle w:val="Subttulo"/>
        <w:ind w:left="851"/>
      </w:pPr>
    </w:p>
    <w:p w:rsidR="00000000" w:rsidRDefault="000E1CA1">
      <w:pPr>
        <w:pStyle w:val="Subttulo"/>
        <w:ind w:left="851"/>
      </w:pPr>
    </w:p>
    <w:p w:rsidR="00000000" w:rsidRDefault="000E1CA1">
      <w:pPr>
        <w:pStyle w:val="Subttulo"/>
        <w:ind w:left="851"/>
        <w:rPr>
          <w:b w:val="0"/>
          <w:bCs/>
          <w:color w:val="000000"/>
          <w:sz w:val="24"/>
        </w:rPr>
      </w:pPr>
      <w:r>
        <w:t xml:space="preserve"> </w:t>
      </w: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XXI que la razón de participación accionaria de las compañías de la región sierra ha mantenido un incremento un poco inestable; se nota que los patrimonios no financian en un gran porcentaje a los activos.</w:t>
      </w:r>
    </w:p>
    <w:p w:rsidR="00000000" w:rsidRDefault="000E1CA1">
      <w:pPr>
        <w:pStyle w:val="Subttulo"/>
        <w:spacing w:line="480" w:lineRule="auto"/>
        <w:ind w:left="902"/>
        <w:rPr>
          <w:rFonts w:cs="Arial"/>
          <w:b w:val="0"/>
          <w:color w:val="auto"/>
          <w:sz w:val="24"/>
        </w:rPr>
      </w:pPr>
    </w:p>
    <w:p w:rsidR="00000000" w:rsidRDefault="000E1CA1">
      <w:pPr>
        <w:rPr>
          <w:lang w:val="es-ES_tradnl"/>
        </w:rPr>
      </w:pPr>
      <w:r>
        <w:rPr>
          <w:noProof/>
          <w:sz w:val="20"/>
        </w:rPr>
        <w:pict>
          <v:shape id="_x0000_s1082" type="#_x0000_t202" style="position:absolute;margin-left:60pt;margin-top:13pt;width:341.15pt;height:327.95pt;z-index:251646464" strokecolor="white">
            <v:textbox>
              <w:txbxContent>
                <w:p w:rsidR="00000000" w:rsidRDefault="00266E4B">
                  <w:r>
                    <w:rPr>
                      <w:noProof/>
                    </w:rPr>
                    <w:drawing>
                      <wp:inline distT="0" distB="0" distL="0" distR="0">
                        <wp:extent cx="4140200" cy="40640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xbxContent>
            </v:textbox>
          </v:shape>
        </w:pict>
      </w:r>
      <w:r>
        <w:rPr>
          <w:noProof/>
          <w:sz w:val="20"/>
        </w:rPr>
        <w:pict>
          <v:rect id="_x0000_s1076" style="position:absolute;margin-left:48pt;margin-top:4.6pt;width:366pt;height:377.4pt;z-index:251640320"/>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091" type="#_x0000_t202" style="position:absolute;margin-left:66pt;margin-top:5.85pt;width:342pt;height:36pt;z-index:251655680" strokecolor="white">
            <v:textbox>
              <w:txbxContent>
                <w:p w:rsidR="00000000" w:rsidRDefault="000E1CA1">
                  <w:pPr>
                    <w:rPr>
                      <w:rFonts w:ascii="Arial" w:hAnsi="Arial" w:cs="Arial"/>
                    </w:rPr>
                  </w:pPr>
                  <w:r>
                    <w:rPr>
                      <w:rFonts w:ascii="Arial" w:hAnsi="Arial" w:cs="Arial"/>
                      <w:b/>
                      <w:bCs/>
                    </w:rPr>
                    <w:t>Gráfico XXI.</w:t>
                  </w:r>
                  <w:r>
                    <w:rPr>
                      <w:rFonts w:ascii="Arial" w:hAnsi="Arial" w:cs="Arial"/>
                    </w:rPr>
                    <w:t xml:space="preserve">  Participación accionaria de las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que la razón de participación accionaria  se ajustan a una distribución N ( 0.34 ; 0.042)</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vertAlign w:val="subscript"/>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pStyle w:val="Ttulo9"/>
        <w:jc w:val="center"/>
        <w:rPr>
          <w:i w:val="0"/>
          <w:iCs w:val="0"/>
        </w:rPr>
      </w:pPr>
      <w:r>
        <w:rPr>
          <w:i w:val="0"/>
          <w:iCs w:val="0"/>
        </w:rPr>
        <w:t>TABLA XVI</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8</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w:t>
            </w:r>
            <w:r>
              <w:rPr>
                <w:rFonts w:ascii="Arial" w:hAnsi="Arial"/>
                <w:snapToGrid w:val="0"/>
              </w:rPr>
              <w:t>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8</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0.14</w:t>
            </w:r>
          </w:p>
        </w:tc>
        <w:tc>
          <w:tcPr>
            <w:tcW w:w="1418" w:type="dxa"/>
            <w:vAlign w:val="center"/>
          </w:tcPr>
          <w:p w:rsidR="00000000" w:rsidRDefault="000E1CA1">
            <w:pPr>
              <w:jc w:val="center"/>
              <w:rPr>
                <w:rFonts w:ascii="Arial" w:hAnsi="Arial"/>
                <w:snapToGrid w:val="0"/>
              </w:rPr>
            </w:pPr>
            <w:r>
              <w:rPr>
                <w:rFonts w:ascii="Arial" w:hAnsi="Arial"/>
                <w:snapToGrid w:val="0"/>
              </w:rPr>
              <w:t>0.711</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spacing w:line="480" w:lineRule="auto"/>
        <w:ind w:left="902"/>
        <w:jc w:val="both"/>
        <w:rPr>
          <w:rFonts w:ascii="Arial" w:hAnsi="Arial" w:cs="Arial"/>
        </w:rPr>
      </w:pPr>
      <w:r>
        <w:rPr>
          <w:rFonts w:ascii="Arial" w:hAnsi="Arial" w:cs="Arial"/>
        </w:rPr>
        <w:t>Visto el valor p podemos afirmar que existe evidencia estadística para no rechazar H</w:t>
      </w:r>
      <w:r>
        <w:rPr>
          <w:rFonts w:ascii="Arial" w:hAnsi="Arial" w:cs="Arial"/>
          <w:vertAlign w:val="subscript"/>
        </w:rPr>
        <w:t>o</w:t>
      </w:r>
      <w:r>
        <w:rPr>
          <w:rFonts w:ascii="Arial" w:hAnsi="Arial" w:cs="Arial"/>
        </w:rPr>
        <w:t>, de que la razón de participación accionaria  es una variable aleatoria normal con media 0.34 y una desviación están</w:t>
      </w:r>
      <w:r>
        <w:rPr>
          <w:rFonts w:ascii="Arial" w:hAnsi="Arial" w:cs="Arial"/>
        </w:rPr>
        <w:t xml:space="preserve">dar de 0.042.  </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3.3.9  </w:t>
      </w:r>
      <w:r>
        <w:rPr>
          <w:rFonts w:ascii="Arial" w:hAnsi="Arial" w:cs="Arial"/>
          <w:b/>
          <w:bCs/>
          <w:i w:val="0"/>
          <w:iCs w:val="0"/>
        </w:rPr>
        <w:t xml:space="preserve"> Razón de rendimiento de las compañías sobre los activos</w:t>
      </w:r>
    </w:p>
    <w:p w:rsidR="00000000" w:rsidRDefault="000E1CA1">
      <w:pPr>
        <w:pStyle w:val="Sangra3detindependiente"/>
        <w:ind w:left="902"/>
        <w:jc w:val="both"/>
        <w:rPr>
          <w:rFonts w:cs="Arial"/>
        </w:rPr>
      </w:pPr>
      <w:r>
        <w:t>Esta variable representa a las ventas totales sobre los activos totales anuales globales de las compañías.  Es decir, el total de las compañías anónimas, de responsabilidad l</w:t>
      </w:r>
      <w:r>
        <w:t>imitada, de economía mixta y sucursales extranjeras  en el período de 1.975 – 1.999.  A continuación se presenta en la tabla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XVII</w:t>
      </w:r>
    </w:p>
    <w:p w:rsidR="00000000" w:rsidRDefault="000E1CA1">
      <w:pPr>
        <w:pStyle w:val="Ttulo2"/>
        <w:ind w:left="902"/>
        <w:jc w:val="center"/>
        <w:rPr>
          <w:lang w:val="es-ES_tradnl"/>
        </w:rPr>
      </w:pPr>
      <w:r>
        <w:t>RAZÓN DE RENDIMIENTO DE LAS COMPAÑÍAS SOBRE LOS ACTIVOS</w:t>
      </w:r>
    </w:p>
    <w:p w:rsidR="00000000" w:rsidRDefault="000E1CA1">
      <w:pPr>
        <w:ind w:left="851"/>
        <w:jc w:val="center"/>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w:t>
            </w:r>
            <w:r>
              <w:rPr>
                <w:rFonts w:ascii="Arial" w:hAnsi="Arial" w:cs="Arial"/>
              </w:rPr>
              <w:t xml:space="preserve">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0.43</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0.97</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0.833</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0.106</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0.011</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-2.137</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8.149</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XVII nos muestra toda la información válida para un análisis.  Tenemos a la media anual que nos indica que el promedio</w:t>
      </w:r>
      <w:r>
        <w:rPr>
          <w:rFonts w:cs="Arial"/>
          <w:b w:val="0"/>
          <w:color w:val="auto"/>
          <w:sz w:val="24"/>
        </w:rPr>
        <w:t xml:space="preserve"> de la razón de rendimiento de las compañías sobre los activos es de 0.833 con una desviación estándar de 0.106. En esta distribución los datos se encuentran sesgados a la izquierda con respecto a la media debido a que el coeficiente de sesgo es negativo (</w:t>
      </w:r>
      <w:r>
        <w:rPr>
          <w:rFonts w:cs="Arial"/>
          <w:b w:val="0"/>
          <w:color w:val="auto"/>
          <w:sz w:val="24"/>
        </w:rPr>
        <w:t xml:space="preserve">-2.137), en lo que respecta al coeficiente de kurtosis (8.149) es leptocúrtica.  Es decir más picuda que una distribución normal estándar. </w:t>
      </w:r>
    </w:p>
    <w:p w:rsidR="00000000" w:rsidRDefault="000E1CA1">
      <w:pPr>
        <w:pStyle w:val="Subttulo"/>
        <w:ind w:left="851"/>
      </w:pPr>
    </w:p>
    <w:p w:rsidR="00000000" w:rsidRDefault="000E1CA1">
      <w:pPr>
        <w:pStyle w:val="Subttulo"/>
        <w:ind w:left="851"/>
      </w:pPr>
    </w:p>
    <w:p w:rsidR="00000000" w:rsidRDefault="000E1CA1">
      <w:pPr>
        <w:pStyle w:val="Subttulo"/>
        <w:ind w:left="851"/>
        <w:rPr>
          <w:b w:val="0"/>
          <w:bCs/>
          <w:color w:val="000000"/>
          <w:sz w:val="24"/>
        </w:rPr>
      </w:pPr>
      <w:r>
        <w:t xml:space="preserve"> </w:t>
      </w: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XXII que la razón de los rendimientos de las compañías sobre los activos ha sido muy</w:t>
      </w:r>
      <w:r>
        <w:rPr>
          <w:rFonts w:cs="Arial"/>
          <w:b w:val="0"/>
          <w:color w:val="auto"/>
          <w:sz w:val="24"/>
        </w:rPr>
        <w:t xml:space="preserve"> variable,  los decrecimientos nos indican una ineficiente utilización de los activos, observamos un acentuado decrecimiento en el último año.</w:t>
      </w:r>
    </w:p>
    <w:p w:rsidR="00000000" w:rsidRDefault="000E1CA1">
      <w:pPr>
        <w:pStyle w:val="Subttulo"/>
        <w:spacing w:line="480" w:lineRule="auto"/>
        <w:ind w:left="902"/>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noProof/>
          <w:color w:val="auto"/>
          <w:lang w:val="es-ES"/>
        </w:rPr>
        <w:pict>
          <v:rect id="_x0000_s1092" style="position:absolute;left:0;text-align:left;margin-left:48pt;margin-top:4pt;width:366pt;height:369pt;z-index:251656704"/>
        </w:pict>
      </w:r>
      <w:r>
        <w:rPr>
          <w:rFonts w:cs="Arial"/>
          <w:b w:val="0"/>
          <w:noProof/>
          <w:color w:val="auto"/>
          <w:lang w:val="es-ES"/>
        </w:rPr>
        <w:pict>
          <v:shape id="_x0000_s1108" type="#_x0000_t202" style="position:absolute;left:0;text-align:left;margin-left:60pt;margin-top:13pt;width:341.15pt;height:309.95pt;z-index:251673088" strokecolor="white">
            <v:textbox>
              <w:txbxContent>
                <w:p w:rsidR="00000000" w:rsidRDefault="00266E4B">
                  <w:r>
                    <w:rPr>
                      <w:noProof/>
                    </w:rPr>
                    <w:drawing>
                      <wp:inline distT="0" distB="0" distL="0" distR="0">
                        <wp:extent cx="4140200" cy="38354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xbxContent>
            </v:textbox>
          </v:shape>
        </w:pict>
      </w:r>
    </w:p>
    <w:p w:rsidR="00000000" w:rsidRDefault="000E1CA1">
      <w:pPr>
        <w:pStyle w:val="Subttulo"/>
        <w:ind w:left="902"/>
        <w:rPr>
          <w:rFonts w:cs="Arial"/>
          <w:b w:val="0"/>
          <w:color w:val="auto"/>
          <w:sz w:val="24"/>
        </w:rPr>
      </w:pPr>
    </w:p>
    <w:p w:rsidR="00000000" w:rsidRDefault="000E1CA1">
      <w:pPr>
        <w:rPr>
          <w:lang w:val="es-ES_tradnl"/>
        </w:rPr>
      </w:pPr>
    </w:p>
    <w:p w:rsidR="00000000" w:rsidRDefault="000E1CA1"/>
    <w:p w:rsidR="00000000" w:rsidRDefault="000E1CA1"/>
    <w:p w:rsidR="00000000" w:rsidRDefault="000E1CA1"/>
    <w:p w:rsidR="00000000" w:rsidRDefault="000E1CA1"/>
    <w:p w:rsidR="00000000" w:rsidRDefault="000E1CA1"/>
    <w:p w:rsidR="00000000" w:rsidRDefault="000E1CA1"/>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 w:rsidR="00000000" w:rsidRDefault="000E1CA1"/>
    <w:p w:rsidR="00000000" w:rsidRDefault="000E1CA1"/>
    <w:p w:rsidR="00000000" w:rsidRDefault="000E1CA1"/>
    <w:p w:rsidR="00000000" w:rsidRDefault="000E1CA1"/>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0" type="#_x0000_t202" style="position:absolute;margin-left:60pt;margin-top:1.65pt;width:348pt;height:36pt;z-index:251675136" strokecolor="white">
            <v:textbox>
              <w:txbxContent>
                <w:p w:rsidR="00000000" w:rsidRDefault="000E1CA1">
                  <w:pPr>
                    <w:rPr>
                      <w:rFonts w:ascii="Arial" w:hAnsi="Arial" w:cs="Arial"/>
                    </w:rPr>
                  </w:pPr>
                  <w:r>
                    <w:rPr>
                      <w:rFonts w:ascii="Arial" w:hAnsi="Arial" w:cs="Arial"/>
                      <w:b/>
                      <w:bCs/>
                    </w:rPr>
                    <w:t xml:space="preserve">Gráfico XXII </w:t>
                  </w:r>
                  <w:r>
                    <w:rPr>
                      <w:rFonts w:ascii="Arial" w:hAnsi="Arial" w:cs="Arial"/>
                    </w:rPr>
                    <w:t>Rendimiento sobre los activos de las compañías</w:t>
                  </w:r>
                </w:p>
                <w:p w:rsidR="00000000" w:rsidRDefault="000E1CA1">
                  <w:r>
                    <w:rPr>
                      <w:rFonts w:ascii="Arial" w:hAnsi="Arial" w:cs="Arial"/>
                      <w:b/>
                      <w:bCs/>
                    </w:rPr>
                    <w:t>Fuent</w:t>
                  </w:r>
                  <w:r>
                    <w:rPr>
                      <w:rFonts w:ascii="Arial" w:hAnsi="Arial" w:cs="Arial"/>
                      <w:b/>
                      <w:bCs/>
                    </w:rPr>
                    <w:t>e.</w:t>
                  </w:r>
                  <w:r>
                    <w:rPr>
                      <w:rFonts w:ascii="Arial" w:hAnsi="Arial" w:cs="Arial"/>
                    </w:rPr>
                    <w:t xml:space="preserve">  Superintendencia de compañías</w:t>
                  </w:r>
                </w:p>
              </w:txbxContent>
            </v:textbox>
          </v:shape>
        </w:pict>
      </w:r>
    </w:p>
    <w:p w:rsidR="00000000" w:rsidRDefault="000E1CA1"/>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la razón de rendimiento sobre el activo  se </w:t>
      </w:r>
      <w:r>
        <w:rPr>
          <w:rFonts w:ascii="Arial" w:hAnsi="Arial"/>
          <w:iCs/>
        </w:rPr>
        <w:t>ajustan a una distribución N (0.833; 0.106 )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rPr>
          <w:lang w:val="es-ES_tradnl"/>
        </w:rPr>
      </w:pPr>
    </w:p>
    <w:p w:rsidR="00000000" w:rsidRDefault="000E1CA1">
      <w:pPr>
        <w:pStyle w:val="Ttulo9"/>
        <w:jc w:val="center"/>
        <w:rPr>
          <w:i w:val="0"/>
          <w:iCs w:val="0"/>
        </w:rPr>
      </w:pPr>
      <w:r>
        <w:rPr>
          <w:i w:val="0"/>
          <w:iCs w:val="0"/>
        </w:rPr>
        <w:t>TABLA XVIII</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9</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9</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0.222</w:t>
            </w:r>
          </w:p>
        </w:tc>
        <w:tc>
          <w:tcPr>
            <w:tcW w:w="1418" w:type="dxa"/>
            <w:vAlign w:val="center"/>
          </w:tcPr>
          <w:p w:rsidR="00000000" w:rsidRDefault="000E1CA1">
            <w:pPr>
              <w:jc w:val="center"/>
              <w:rPr>
                <w:rFonts w:ascii="Arial" w:hAnsi="Arial"/>
                <w:snapToGrid w:val="0"/>
              </w:rPr>
            </w:pPr>
            <w:r>
              <w:rPr>
                <w:rFonts w:ascii="Arial" w:hAnsi="Arial"/>
                <w:snapToGrid w:val="0"/>
              </w:rPr>
              <w:t>0.169</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w:t>
      </w:r>
      <w:r>
        <w:t>xiste evidencia estadística para no rechazar H</w:t>
      </w:r>
      <w:r>
        <w:rPr>
          <w:vertAlign w:val="subscript"/>
        </w:rPr>
        <w:t>o</w:t>
      </w:r>
      <w:r>
        <w:t xml:space="preserve">, de que la razón de rendimiento sobre el activo  es una variable aleatoria normal con media 0.833 y una desviación estándar de 0.106.  </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rPr>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3.3.10 </w:t>
      </w:r>
      <w:r>
        <w:rPr>
          <w:rFonts w:ascii="Arial" w:hAnsi="Arial" w:cs="Arial"/>
          <w:b/>
          <w:bCs/>
          <w:i w:val="0"/>
          <w:iCs w:val="0"/>
        </w:rPr>
        <w:t>Razón de rendimiento de las compañías sobre el patrimonio</w:t>
      </w:r>
    </w:p>
    <w:p w:rsidR="00000000" w:rsidRDefault="000E1CA1">
      <w:pPr>
        <w:pStyle w:val="Sangra3detindependiente"/>
        <w:ind w:left="902"/>
        <w:jc w:val="both"/>
        <w:rPr>
          <w:rFonts w:cs="Arial"/>
        </w:rPr>
      </w:pPr>
      <w:r>
        <w:t>Esta</w:t>
      </w:r>
      <w:r>
        <w:t xml:space="preserve"> variable representa a los ventas totales sobre los patrimonios totales anuales globales de las compañías.  Es decir, el total de las compañías anónimas, de responsabilidad limitada, de economía mixta y sucursales extranjeras  en el período de 1.975 – 1.99</w:t>
      </w:r>
      <w:r>
        <w:t>9.  A continuación se presenta en la tabla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XIX</w:t>
      </w:r>
    </w:p>
    <w:p w:rsidR="00000000" w:rsidRDefault="000E1CA1">
      <w:pPr>
        <w:pStyle w:val="Ttulo2"/>
        <w:jc w:val="center"/>
        <w:rPr>
          <w:lang w:val="es-ES_tradnl"/>
        </w:rPr>
      </w:pPr>
      <w:r>
        <w:t xml:space="preserve">RAZÓN DE RENDIMIENTO DE LAS COMPAÑÍAS SOBRE EL PATRIMONIO </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1.57</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3.37</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2.474</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0.386</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0.150</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0.062</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0.812</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 xml:space="preserve">La tabla XIX nos muestra toda la información válida para un análisis.  Tenemos a la media anual que nos indica que el promedio de la razón de rendimiento es de 2.474 con una desviación estándar de 0.386.  En </w:t>
      </w:r>
      <w:r>
        <w:rPr>
          <w:rFonts w:cs="Arial"/>
          <w:b w:val="0"/>
          <w:color w:val="auto"/>
          <w:sz w:val="24"/>
        </w:rPr>
        <w:t>esta distribución los datos se encuentran ligeramente sesgados a la derecha con respecto a la media debido a que el coeficiente de sesgo es positivo (0.062), en lo que respecta al coeficiente de kurtosis (0.812) es leptocúrtica.  Es decir más picuda que un</w:t>
      </w:r>
      <w:r>
        <w:rPr>
          <w:rFonts w:cs="Arial"/>
          <w:b w:val="0"/>
          <w:color w:val="auto"/>
          <w:sz w:val="24"/>
        </w:rPr>
        <w:t xml:space="preserve">a distribución normal estándar. </w:t>
      </w:r>
    </w:p>
    <w:p w:rsidR="00000000" w:rsidRDefault="000E1CA1">
      <w:pPr>
        <w:pStyle w:val="Subttulo"/>
        <w:ind w:left="851"/>
      </w:pPr>
    </w:p>
    <w:p w:rsidR="00000000" w:rsidRDefault="000E1CA1">
      <w:pPr>
        <w:pStyle w:val="Subttulo"/>
        <w:ind w:left="851"/>
      </w:pPr>
    </w:p>
    <w:p w:rsidR="00000000" w:rsidRDefault="000E1CA1">
      <w:pPr>
        <w:pStyle w:val="Subttulo"/>
        <w:ind w:left="851"/>
        <w:rPr>
          <w:b w:val="0"/>
          <w:bCs/>
          <w:color w:val="000000"/>
          <w:sz w:val="24"/>
        </w:rPr>
      </w:pPr>
      <w:r>
        <w:t xml:space="preserve"> </w:t>
      </w: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XXIII que la razón de endeudamiento de las compañías ha sido muy variable, notándose un decrecimiento en el período de 1.984 – 1.987.</w:t>
      </w:r>
    </w:p>
    <w:p w:rsidR="00000000" w:rsidRDefault="000E1CA1">
      <w:pPr>
        <w:pStyle w:val="Subttulo"/>
        <w:ind w:left="902"/>
        <w:rPr>
          <w:rFonts w:cs="Arial"/>
          <w:b w:val="0"/>
          <w:color w:val="auto"/>
          <w:sz w:val="24"/>
        </w:rPr>
      </w:pPr>
    </w:p>
    <w:p w:rsidR="00000000" w:rsidRDefault="000E1CA1">
      <w:pPr>
        <w:rPr>
          <w:lang w:val="es-ES_tradnl"/>
        </w:rPr>
      </w:pPr>
      <w:r>
        <w:rPr>
          <w:noProof/>
          <w:sz w:val="20"/>
        </w:rPr>
        <w:pict>
          <v:rect id="_x0000_s1093" style="position:absolute;margin-left:42pt;margin-top:.4pt;width:372pt;height:386.4pt;z-index:251657728"/>
        </w:pict>
      </w:r>
      <w:r>
        <w:rPr>
          <w:noProof/>
          <w:sz w:val="20"/>
        </w:rPr>
        <w:pict>
          <v:shape id="_x0000_s1109" type="#_x0000_t202" style="position:absolute;margin-left:48pt;margin-top:8.8pt;width:360.15pt;height:336.95pt;z-index:251674112" strokecolor="white">
            <v:textbox>
              <w:txbxContent>
                <w:p w:rsidR="00000000" w:rsidRDefault="00266E4B">
                  <w:r>
                    <w:rPr>
                      <w:noProof/>
                    </w:rPr>
                    <w:drawing>
                      <wp:inline distT="0" distB="0" distL="0" distR="0">
                        <wp:extent cx="4381500" cy="417830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1" type="#_x0000_t202" style="position:absolute;margin-left:54pt;margin-top:10.65pt;width:348pt;height:36pt;z-index:251676160" strokecolor="white">
            <v:textbox>
              <w:txbxContent>
                <w:p w:rsidR="00000000" w:rsidRDefault="000E1CA1">
                  <w:pPr>
                    <w:rPr>
                      <w:rFonts w:ascii="Arial" w:hAnsi="Arial" w:cs="Arial"/>
                    </w:rPr>
                  </w:pPr>
                  <w:r>
                    <w:rPr>
                      <w:rFonts w:ascii="Arial" w:hAnsi="Arial" w:cs="Arial"/>
                      <w:b/>
                      <w:bCs/>
                    </w:rPr>
                    <w:t>Gráfico XXIII.</w:t>
                  </w:r>
                  <w:r>
                    <w:rPr>
                      <w:rFonts w:ascii="Arial" w:hAnsi="Arial" w:cs="Arial"/>
                    </w:rPr>
                    <w:t xml:space="preserve"> Rendimiento sobre el patrimonio  de compañías</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razón de rendimiento sobre el patrimonio se ajustan a una distribución N ( 2.474 ; 0.386 )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rPr>
          <w:lang w:val="es-ES_tradnl"/>
        </w:rPr>
      </w:pPr>
    </w:p>
    <w:p w:rsidR="00000000" w:rsidRDefault="000E1CA1">
      <w:pPr>
        <w:pStyle w:val="Ttulo9"/>
        <w:jc w:val="center"/>
        <w:rPr>
          <w:i w:val="0"/>
          <w:iCs w:val="0"/>
        </w:rPr>
      </w:pPr>
      <w:r>
        <w:rPr>
          <w:i w:val="0"/>
          <w:iCs w:val="0"/>
        </w:rPr>
        <w:t>TABLA XX</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10</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1</w:t>
            </w:r>
            <w:r>
              <w:rPr>
                <w:rFonts w:ascii="Arial" w:hAnsi="Arial"/>
                <w:snapToGrid w:val="0"/>
                <w:vertAlign w:val="subscript"/>
              </w:rPr>
              <w:t>0</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0.113</w:t>
            </w:r>
          </w:p>
        </w:tc>
        <w:tc>
          <w:tcPr>
            <w:tcW w:w="1418" w:type="dxa"/>
            <w:vAlign w:val="center"/>
          </w:tcPr>
          <w:p w:rsidR="00000000" w:rsidRDefault="000E1CA1">
            <w:pPr>
              <w:jc w:val="center"/>
              <w:rPr>
                <w:rFonts w:ascii="Arial" w:hAnsi="Arial"/>
                <w:snapToGrid w:val="0"/>
              </w:rPr>
            </w:pPr>
            <w:r>
              <w:rPr>
                <w:rFonts w:ascii="Arial" w:hAnsi="Arial"/>
                <w:snapToGrid w:val="0"/>
              </w:rPr>
              <w:t>0.909</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xml:space="preserve">, de que la razón de rendimiento sobre el patrimonio es una variable aleatoria normal con media 2.474 y una desviación estándar de 0.386.  </w:t>
      </w: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3.3.11</w:t>
      </w:r>
      <w:r>
        <w:rPr>
          <w:rFonts w:ascii="Arial" w:hAnsi="Arial" w:cs="Arial"/>
          <w:b/>
          <w:bCs/>
          <w:i w:val="0"/>
          <w:iCs w:val="0"/>
          <w:lang w:val="es-ES_tradnl"/>
        </w:rPr>
        <w:t xml:space="preserve">  </w:t>
      </w:r>
      <w:r>
        <w:rPr>
          <w:rFonts w:ascii="Arial" w:hAnsi="Arial" w:cs="Arial"/>
          <w:b/>
          <w:bCs/>
          <w:i w:val="0"/>
          <w:iCs w:val="0"/>
        </w:rPr>
        <w:t xml:space="preserve"> Producto interno bruto (PIB)</w:t>
      </w:r>
    </w:p>
    <w:p w:rsidR="00000000" w:rsidRDefault="000E1CA1">
      <w:pPr>
        <w:pStyle w:val="Sangra3detindependiente"/>
        <w:ind w:left="902"/>
        <w:jc w:val="both"/>
        <w:rPr>
          <w:rFonts w:cs="Arial"/>
        </w:rPr>
      </w:pPr>
      <w:r>
        <w:t>Esta variable representa el total en millones de dólares que generó el país en divisas durante 1.975 – 1.999 .  En la tabla  se presenta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XXI</w:t>
      </w:r>
    </w:p>
    <w:p w:rsidR="00000000" w:rsidRDefault="000E1CA1">
      <w:pPr>
        <w:pStyle w:val="Ttulo2"/>
        <w:jc w:val="center"/>
        <w:rPr>
          <w:lang w:val="es-ES_tradnl"/>
        </w:rPr>
      </w:pPr>
      <w:r>
        <w:t>PRODUCTO INTERNO BRUTO (PIB)</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Tamaño de la m</w:t>
            </w:r>
            <w:r>
              <w:rPr>
                <w:rFonts w:ascii="Arial" w:hAnsi="Arial" w:cs="Arial"/>
              </w:rPr>
              <w:t xml:space="preserve">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-4233.75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3503.2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479.49</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1552.33</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2409752.2</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-1.376</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3.325</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XXI nos muestra toda la información válida para un análisis.  Tenemos a la media anual que</w:t>
      </w:r>
      <w:r>
        <w:rPr>
          <w:rFonts w:cs="Arial"/>
          <w:b w:val="0"/>
          <w:color w:val="auto"/>
          <w:sz w:val="24"/>
        </w:rPr>
        <w:t xml:space="preserve"> nos indica que el promedio del incremento del producto interno bruto es de 479.49 millones de dólares con una desviación estándar de 1552.33 millones de dólares.  En esta distribución los datos se encuentran sesgados a la izquierda con respecto a la media</w:t>
      </w:r>
      <w:r>
        <w:rPr>
          <w:rFonts w:cs="Arial"/>
          <w:b w:val="0"/>
          <w:color w:val="auto"/>
          <w:sz w:val="24"/>
        </w:rPr>
        <w:t xml:space="preserve"> debido a que el coeficiente de sesgo es negativo (-1.376), en lo que respecta al coeficiente de kurtosis (3.325) es leptocúrtica.  Es decir más picuda que una distribución normal estándar. </w:t>
      </w: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XXIV, el PIB ha mantenido un crecimie</w:t>
      </w:r>
      <w:r>
        <w:rPr>
          <w:rFonts w:cs="Arial"/>
          <w:b w:val="0"/>
          <w:color w:val="auto"/>
          <w:sz w:val="24"/>
        </w:rPr>
        <w:t>nto con unos pequeños bajones, el crecimiento de 1.974 – 1.980 se le atribuye a la riqueza del petróleo en ese tiempo.</w:t>
      </w:r>
    </w:p>
    <w:p w:rsidR="00000000" w:rsidRDefault="000E1CA1">
      <w:pPr>
        <w:pStyle w:val="Subttulo"/>
        <w:spacing w:line="480" w:lineRule="auto"/>
        <w:ind w:left="902"/>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noProof/>
          <w:color w:val="auto"/>
          <w:lang w:val="es-ES"/>
        </w:rPr>
        <w:pict>
          <v:rect id="_x0000_s1094" style="position:absolute;left:0;text-align:left;margin-left:42pt;margin-top:25.2pt;width:366pt;height:468pt;z-index:251658752"/>
        </w:pict>
      </w:r>
    </w:p>
    <w:p w:rsidR="00000000" w:rsidRDefault="000E1CA1">
      <w:pPr>
        <w:rPr>
          <w:lang w:val="es-ES_tradnl"/>
        </w:rPr>
      </w:pPr>
      <w:r>
        <w:rPr>
          <w:noProof/>
          <w:sz w:val="20"/>
        </w:rPr>
        <w:pict>
          <v:shape id="_x0000_s1095" type="#_x0000_t202" style="position:absolute;margin-left:48pt;margin-top:7.8pt;width:347.15pt;height:412.95pt;z-index:251659776" strokecolor="white">
            <v:textbox>
              <w:txbxContent>
                <w:p w:rsidR="00000000" w:rsidRDefault="00266E4B">
                  <w:r>
                    <w:rPr>
                      <w:noProof/>
                    </w:rPr>
                    <w:drawing>
                      <wp:inline distT="0" distB="0" distL="0" distR="0">
                        <wp:extent cx="4216400" cy="51435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2" type="#_x0000_t202" style="position:absolute;margin-left:60pt;margin-top:6.05pt;width:324pt;height:36pt;z-index:251677184" strokecolor="white">
            <v:textbox>
              <w:txbxContent>
                <w:p w:rsidR="00000000" w:rsidRDefault="000E1CA1">
                  <w:pPr>
                    <w:rPr>
                      <w:rFonts w:ascii="Arial" w:hAnsi="Arial" w:cs="Arial"/>
                    </w:rPr>
                  </w:pPr>
                  <w:r>
                    <w:rPr>
                      <w:rFonts w:ascii="Arial" w:hAnsi="Arial" w:cs="Arial"/>
                      <w:b/>
                      <w:bCs/>
                    </w:rPr>
                    <w:t>Gráfico XXIV.</w:t>
                  </w:r>
                  <w:r>
                    <w:rPr>
                      <w:rFonts w:ascii="Arial" w:hAnsi="Arial" w:cs="Arial"/>
                    </w:rPr>
                    <w:t xml:space="preserve">  PIB</w:t>
                  </w:r>
                </w:p>
                <w:p w:rsidR="00000000" w:rsidRDefault="000E1CA1">
                  <w:r>
                    <w:rPr>
                      <w:rFonts w:ascii="Arial" w:hAnsi="Arial" w:cs="Arial"/>
                      <w:b/>
                      <w:bCs/>
                    </w:rPr>
                    <w:t>Fuente.</w:t>
                  </w:r>
                  <w:r>
                    <w:rPr>
                      <w:rFonts w:ascii="Arial" w:hAnsi="Arial" w:cs="Arial"/>
                    </w:rPr>
                    <w:t xml:space="preserve">  Banco Central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spacing w:line="480" w:lineRule="auto"/>
        <w:ind w:left="902"/>
        <w:jc w:val="both"/>
        <w:rPr>
          <w:lang w:val="es-ES_tradnl"/>
        </w:rPr>
      </w:pPr>
      <w:r>
        <w:rPr>
          <w:rFonts w:ascii="Arial" w:hAnsi="Arial" w:cs="Arial"/>
          <w:lang w:val="es-ES_tradnl"/>
        </w:rPr>
        <w:t xml:space="preserve">A continuación en el gráfico XXV apreciamos la tasa de variación del PIB, notándose un decremento </w:t>
      </w:r>
      <w:r>
        <w:rPr>
          <w:rFonts w:ascii="Arial" w:hAnsi="Arial" w:cs="Arial"/>
          <w:lang w:val="es-ES_tradnl"/>
        </w:rPr>
        <w:t>en los años de 1.982, 1.983, 1.987, 1.988, 1.997, 1.998 y 1.999</w:t>
      </w:r>
      <w:r>
        <w:rPr>
          <w:lang w:val="es-ES_tradnl"/>
        </w:rPr>
        <w:t>.</w: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rect id="_x0000_s1096" style="position:absolute;margin-left:42pt;margin-top:5.4pt;width:372pt;height:473.35pt;z-index:251660800"/>
        </w:pict>
      </w:r>
    </w:p>
    <w:p w:rsidR="00000000" w:rsidRDefault="000E1CA1">
      <w:pPr>
        <w:rPr>
          <w:lang w:val="es-ES_tradnl"/>
        </w:rPr>
      </w:pPr>
      <w:r>
        <w:rPr>
          <w:noProof/>
          <w:sz w:val="20"/>
        </w:rPr>
        <w:pict>
          <v:shape id="_x0000_s1097" type="#_x0000_t202" style="position:absolute;margin-left:48pt;margin-top:.6pt;width:360.15pt;height:419.95pt;z-index:251661824" strokecolor="white">
            <v:textbox>
              <w:txbxContent>
                <w:p w:rsidR="00000000" w:rsidRDefault="00266E4B">
                  <w:r>
                    <w:rPr>
                      <w:noProof/>
                    </w:rPr>
                    <w:drawing>
                      <wp:inline distT="0" distB="0" distL="0" distR="0">
                        <wp:extent cx="4381500" cy="52324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3" type="#_x0000_t202" style="position:absolute;margin-left:54pt;margin-top:6pt;width:348pt;height:36pt;z-index:251678208" strokecolor="white">
            <v:textbox>
              <w:txbxContent>
                <w:p w:rsidR="00000000" w:rsidRDefault="000E1CA1">
                  <w:pPr>
                    <w:rPr>
                      <w:rFonts w:ascii="Arial" w:hAnsi="Arial" w:cs="Arial"/>
                    </w:rPr>
                  </w:pPr>
                  <w:r>
                    <w:rPr>
                      <w:rFonts w:ascii="Arial" w:hAnsi="Arial" w:cs="Arial"/>
                      <w:b/>
                      <w:bCs/>
                    </w:rPr>
                    <w:t>Gráfico XXV.</w:t>
                  </w:r>
                  <w:r>
                    <w:rPr>
                      <w:rFonts w:ascii="Arial" w:hAnsi="Arial" w:cs="Arial"/>
                    </w:rPr>
                    <w:t xml:space="preserve"> Variación del PIB</w:t>
                  </w:r>
                </w:p>
                <w:p w:rsidR="00000000" w:rsidRDefault="000E1CA1">
                  <w:r>
                    <w:rPr>
                      <w:rFonts w:ascii="Arial" w:hAnsi="Arial" w:cs="Arial"/>
                      <w:b/>
                      <w:bCs/>
                    </w:rPr>
                    <w:t>Fuente.</w:t>
                  </w:r>
                  <w:r>
                    <w:rPr>
                      <w:rFonts w:ascii="Arial" w:hAnsi="Arial" w:cs="Arial"/>
                    </w:rPr>
                    <w:t xml:space="preserve">  Banco Central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del PIB se ajustan a una distribución N ( 479.49 ; 1552.33 )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vertAlign w:val="subscript"/>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pStyle w:val="Ttulo9"/>
        <w:jc w:val="center"/>
        <w:rPr>
          <w:i w:val="0"/>
          <w:iCs w:val="0"/>
        </w:rPr>
      </w:pPr>
      <w:r>
        <w:rPr>
          <w:i w:val="0"/>
          <w:iCs w:val="0"/>
        </w:rPr>
        <w:t>TABLA XXII</w:t>
      </w:r>
    </w:p>
    <w:p w:rsidR="00000000" w:rsidRDefault="000E1CA1">
      <w:pPr>
        <w:ind w:left="902"/>
        <w:jc w:val="center"/>
        <w:rPr>
          <w:rFonts w:ascii="Arial" w:hAnsi="Arial"/>
          <w:b/>
        </w:rPr>
      </w:pPr>
      <w:r>
        <w:rPr>
          <w:rFonts w:ascii="Arial" w:hAnsi="Arial"/>
          <w:b/>
        </w:rPr>
        <w:t>PRUEBA DE</w:t>
      </w:r>
      <w:r>
        <w:rPr>
          <w:rFonts w:ascii="Arial" w:hAnsi="Arial"/>
          <w:b/>
        </w:rPr>
        <w:t xml:space="preserve"> KOLMOGOROV PARA X</w:t>
      </w:r>
      <w:r>
        <w:rPr>
          <w:rFonts w:ascii="Arial" w:hAnsi="Arial"/>
          <w:b/>
          <w:vertAlign w:val="subscript"/>
        </w:rPr>
        <w:t>11</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11</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0.189</w:t>
            </w:r>
          </w:p>
        </w:tc>
        <w:tc>
          <w:tcPr>
            <w:tcW w:w="1418" w:type="dxa"/>
            <w:vAlign w:val="center"/>
          </w:tcPr>
          <w:p w:rsidR="00000000" w:rsidRDefault="000E1CA1">
            <w:pPr>
              <w:jc w:val="center"/>
              <w:rPr>
                <w:rFonts w:ascii="Arial" w:hAnsi="Arial"/>
                <w:snapToGrid w:val="0"/>
              </w:rPr>
            </w:pPr>
            <w:r>
              <w:rPr>
                <w:rFonts w:ascii="Arial" w:hAnsi="Arial"/>
                <w:snapToGrid w:val="0"/>
              </w:rPr>
              <w:t>0.334</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xml:space="preserve">, de que el PIB es una variable aleatoria normal </w:t>
      </w:r>
      <w:r>
        <w:t xml:space="preserve">con media 479.49 y una desviación estándar de 1552.33.  </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rPr>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3.3.12  </w:t>
      </w:r>
      <w:r>
        <w:rPr>
          <w:rFonts w:ascii="Arial" w:hAnsi="Arial" w:cs="Arial"/>
          <w:b/>
          <w:bCs/>
          <w:i w:val="0"/>
          <w:iCs w:val="0"/>
        </w:rPr>
        <w:t xml:space="preserve"> Deuda externa privada</w:t>
      </w:r>
    </w:p>
    <w:p w:rsidR="00000000" w:rsidRDefault="000E1CA1">
      <w:pPr>
        <w:pStyle w:val="Sangra3detindependiente"/>
        <w:ind w:left="902"/>
        <w:jc w:val="both"/>
        <w:rPr>
          <w:rFonts w:cs="Arial"/>
        </w:rPr>
      </w:pPr>
      <w:r>
        <w:t>Esta variable representa las deudas u obligaciones de empresas privadas de nuestro país que mantiene con empresas, bancos, entes oficiales del exterior en el período</w:t>
      </w:r>
      <w:r>
        <w:t xml:space="preserve"> de 1.975 – 1.999.  A continuación se presenta en la  tabla  la estadística descriptiva.</w:t>
      </w: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rPr>
          <w:rFonts w:ascii="Arial" w:hAnsi="Arial" w:cs="Arial"/>
          <w:b/>
          <w:bCs/>
          <w:i w:val="0"/>
          <w:iCs w:val="0"/>
          <w:lang w:val="es-ES_tradnl"/>
        </w:rPr>
      </w:pPr>
    </w:p>
    <w:p w:rsidR="00000000" w:rsidRDefault="000E1CA1">
      <w:pPr>
        <w:pStyle w:val="Ttulo1"/>
        <w:ind w:left="902"/>
        <w:jc w:val="center"/>
        <w:rPr>
          <w:rFonts w:ascii="Arial" w:hAnsi="Arial" w:cs="Arial"/>
          <w:b/>
          <w:bCs/>
          <w:i w:val="0"/>
          <w:iCs w:val="0"/>
          <w:lang w:val="es-ES_tradnl"/>
        </w:rPr>
      </w:pPr>
      <w:r>
        <w:rPr>
          <w:rFonts w:ascii="Arial" w:hAnsi="Arial" w:cs="Arial"/>
          <w:b/>
          <w:bCs/>
          <w:i w:val="0"/>
          <w:iCs w:val="0"/>
          <w:lang w:val="es-ES_tradnl"/>
        </w:rPr>
        <w:t>TABLA XXIII</w:t>
      </w:r>
    </w:p>
    <w:p w:rsidR="00000000" w:rsidRDefault="000E1CA1">
      <w:pPr>
        <w:pStyle w:val="Ttulo2"/>
        <w:jc w:val="center"/>
        <w:rPr>
          <w:lang w:val="es-ES_tradnl"/>
        </w:rPr>
      </w:pPr>
      <w:r>
        <w:t>DEUDA EXTERNA PRIVADA</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-632.68</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614.33</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100.12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274.60</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75</w:t>
            </w:r>
            <w:r>
              <w:rPr>
                <w:rFonts w:ascii="Arial" w:hAnsi="Arial" w:cs="Arial"/>
              </w:rPr>
              <w:t>405.56</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-1.115</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2.373</w:t>
            </w:r>
          </w:p>
        </w:tc>
      </w:tr>
    </w:tbl>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XXIII nos muestra toda la información válida para un análisis.  Tenemos a la media anual que nos indica que el promedio de la deuda externa es de 100.12 millones de dólares con una desviación estándar de 27</w:t>
      </w:r>
      <w:r>
        <w:rPr>
          <w:rFonts w:cs="Arial"/>
          <w:b w:val="0"/>
          <w:color w:val="auto"/>
          <w:sz w:val="24"/>
        </w:rPr>
        <w:t>4.60 millones de dólares.  En esta distribución los datos se encuentran sesgados a la izquierda con respecto a la media debido a que el coeficiente de sesgo es negativo (-1.115), en lo que respecta al coeficiente de kurtosis (2.373) es leptocúrtica.  Es de</w:t>
      </w:r>
      <w:r>
        <w:rPr>
          <w:rFonts w:cs="Arial"/>
          <w:b w:val="0"/>
          <w:color w:val="auto"/>
          <w:sz w:val="24"/>
        </w:rPr>
        <w:t>cir más picuda que una distribución normal estándar.</w:t>
      </w:r>
    </w:p>
    <w:p w:rsidR="00000000" w:rsidRDefault="000E1CA1">
      <w:pPr>
        <w:pStyle w:val="Subttulo"/>
        <w:ind w:left="902"/>
        <w:rPr>
          <w:rFonts w:cs="Arial"/>
          <w:b w:val="0"/>
          <w:color w:val="auto"/>
          <w:sz w:val="24"/>
        </w:rPr>
      </w:pPr>
      <w:r>
        <w:rPr>
          <w:rFonts w:cs="Arial"/>
          <w:b w:val="0"/>
          <w:color w:val="auto"/>
          <w:sz w:val="24"/>
        </w:rPr>
        <w:t xml:space="preserve"> </w:t>
      </w:r>
    </w:p>
    <w:p w:rsidR="00000000" w:rsidRDefault="000E1CA1">
      <w:pPr>
        <w:pStyle w:val="Subttulo"/>
        <w:ind w:left="902"/>
        <w:rPr>
          <w:rFonts w:cs="Arial"/>
          <w:b w:val="0"/>
          <w:color w:val="auto"/>
          <w:sz w:val="24"/>
        </w:rPr>
      </w:pPr>
    </w:p>
    <w:p w:rsidR="00000000" w:rsidRDefault="000E1CA1">
      <w:pPr>
        <w:pStyle w:val="Subttulo"/>
        <w:ind w:left="902"/>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XXVI la deuda externa privada ha  sido estable en los períodos de 1.974 – 1.977 y 1.984 – 1.992, en los años que hay decremento es debido a una refinanciación y amortizaci</w:t>
      </w:r>
      <w:r>
        <w:rPr>
          <w:rFonts w:cs="Arial"/>
          <w:b w:val="0"/>
          <w:color w:val="auto"/>
          <w:sz w:val="24"/>
        </w:rPr>
        <w:t>ón de la deuda.</w:t>
      </w: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rect id="_x0000_s1098" style="position:absolute;margin-left:48pt;margin-top:5.4pt;width:366pt;height:372pt;z-index:251662848"/>
        </w:pict>
      </w:r>
    </w:p>
    <w:p w:rsidR="00000000" w:rsidRDefault="000E1CA1">
      <w:pPr>
        <w:rPr>
          <w:lang w:val="es-ES_tradnl"/>
        </w:rPr>
      </w:pPr>
      <w:r>
        <w:rPr>
          <w:noProof/>
          <w:sz w:val="20"/>
        </w:rPr>
        <w:pict>
          <v:shape id="_x0000_s1099" type="#_x0000_t202" style="position:absolute;margin-left:54pt;margin-top:.6pt;width:354.15pt;height:322.2pt;z-index:251663872" strokecolor="white">
            <v:textbox>
              <w:txbxContent>
                <w:p w:rsidR="00000000" w:rsidRDefault="00266E4B">
                  <w:r>
                    <w:rPr>
                      <w:noProof/>
                    </w:rPr>
                    <w:drawing>
                      <wp:inline distT="0" distB="0" distL="0" distR="0">
                        <wp:extent cx="4305300" cy="39878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4" type="#_x0000_t202" style="position:absolute;margin-left:60pt;margin-top:1.25pt;width:336pt;height:36pt;z-index:251679232" strokecolor="white">
            <v:textbox>
              <w:txbxContent>
                <w:p w:rsidR="00000000" w:rsidRDefault="000E1CA1">
                  <w:pPr>
                    <w:rPr>
                      <w:rFonts w:ascii="Arial" w:hAnsi="Arial" w:cs="Arial"/>
                    </w:rPr>
                  </w:pPr>
                  <w:r>
                    <w:rPr>
                      <w:rFonts w:ascii="Arial" w:hAnsi="Arial" w:cs="Arial"/>
                      <w:b/>
                      <w:bCs/>
                    </w:rPr>
                    <w:t>Gráfico XXVI.</w:t>
                  </w:r>
                  <w:r>
                    <w:rPr>
                      <w:rFonts w:ascii="Arial" w:hAnsi="Arial" w:cs="Arial"/>
                    </w:rPr>
                    <w:t xml:space="preserve">  Deuda externa privada</w:t>
                  </w:r>
                </w:p>
                <w:p w:rsidR="00000000" w:rsidRDefault="000E1CA1">
                  <w:r>
                    <w:rPr>
                      <w:rFonts w:ascii="Arial" w:hAnsi="Arial" w:cs="Arial"/>
                      <w:b/>
                      <w:bCs/>
                    </w:rPr>
                    <w:t>Fuente.</w:t>
                  </w:r>
                  <w:r>
                    <w:rPr>
                      <w:rFonts w:ascii="Arial" w:hAnsi="Arial" w:cs="Arial"/>
                    </w:rPr>
                    <w:t xml:space="preserve">  Banco Central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pStyle w:val="Sangradetextonormal"/>
        <w:spacing w:line="480" w:lineRule="auto"/>
        <w:ind w:left="902"/>
        <w:rPr>
          <w:lang w:val="es-ES_tradnl"/>
        </w:rPr>
      </w:pPr>
      <w:r>
        <w:rPr>
          <w:lang w:val="es-ES_tradnl"/>
        </w:rPr>
        <w:t>A continuación en el gráfico XXVII apreciamos la tasa de variación de la deuda externa privada, notándose un acentuado crecimiento en 1.978, y un decremento en el período de 1.983 – 1.986 y en el último año.</w:t>
      </w:r>
    </w:p>
    <w:p w:rsidR="00000000" w:rsidRDefault="000E1CA1">
      <w:pPr>
        <w:spacing w:line="480" w:lineRule="auto"/>
        <w:ind w:left="902"/>
        <w:jc w:val="both"/>
        <w:rPr>
          <w:rFonts w:ascii="Arial" w:hAnsi="Arial" w:cs="Arial"/>
          <w:lang w:val="es-ES_tradnl"/>
        </w:rPr>
      </w:pPr>
    </w:p>
    <w:p w:rsidR="00000000" w:rsidRDefault="000E1CA1">
      <w:pPr>
        <w:rPr>
          <w:lang w:val="es-ES_tradnl"/>
        </w:rPr>
      </w:pPr>
      <w:r>
        <w:rPr>
          <w:noProof/>
          <w:sz w:val="20"/>
        </w:rPr>
        <w:pict>
          <v:rect id="_x0000_s1100" style="position:absolute;margin-left:48pt;margin-top:7.2pt;width:366pt;height:430.8pt;z-index:251664896"/>
        </w:pict>
      </w:r>
    </w:p>
    <w:p w:rsidR="00000000" w:rsidRDefault="000E1CA1">
      <w:pPr>
        <w:rPr>
          <w:lang w:val="es-ES_tradnl"/>
        </w:rPr>
      </w:pPr>
      <w:r>
        <w:rPr>
          <w:noProof/>
          <w:sz w:val="20"/>
        </w:rPr>
        <w:pict>
          <v:shape id="_x0000_s1101" type="#_x0000_t202" style="position:absolute;margin-left:54pt;margin-top:2.4pt;width:354.15pt;height:376.95pt;z-index:251665920" strokecolor="white">
            <v:textbox>
              <w:txbxContent>
                <w:p w:rsidR="00000000" w:rsidRDefault="00266E4B">
                  <w:r>
                    <w:rPr>
                      <w:noProof/>
                    </w:rPr>
                    <w:drawing>
                      <wp:inline distT="0" distB="0" distL="0" distR="0">
                        <wp:extent cx="4305300" cy="46863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5" type="#_x0000_t202" style="position:absolute;margin-left:60pt;margin-top:6.65pt;width:336pt;height:36pt;z-index:251680256" strokecolor="white">
            <v:textbox>
              <w:txbxContent>
                <w:p w:rsidR="00000000" w:rsidRDefault="000E1CA1">
                  <w:pPr>
                    <w:rPr>
                      <w:rFonts w:ascii="Arial" w:hAnsi="Arial" w:cs="Arial"/>
                    </w:rPr>
                  </w:pPr>
                  <w:r>
                    <w:rPr>
                      <w:rFonts w:ascii="Arial" w:hAnsi="Arial" w:cs="Arial"/>
                      <w:b/>
                      <w:bCs/>
                    </w:rPr>
                    <w:t>Gráfico XXVII.</w:t>
                  </w:r>
                  <w:r>
                    <w:rPr>
                      <w:rFonts w:ascii="Arial" w:hAnsi="Arial" w:cs="Arial"/>
                    </w:rPr>
                    <w:t xml:space="preserve">  Variación de la</w:t>
                  </w:r>
                  <w:r>
                    <w:rPr>
                      <w:rFonts w:ascii="Arial" w:hAnsi="Arial" w:cs="Arial"/>
                    </w:rPr>
                    <w:t xml:space="preserve"> Deuda Externa Privada</w:t>
                  </w:r>
                </w:p>
                <w:p w:rsidR="00000000" w:rsidRDefault="000E1CA1">
                  <w:r>
                    <w:rPr>
                      <w:rFonts w:ascii="Arial" w:hAnsi="Arial" w:cs="Arial"/>
                      <w:b/>
                      <w:bCs/>
                    </w:rPr>
                    <w:t>Fuente.</w:t>
                  </w:r>
                  <w:r>
                    <w:rPr>
                      <w:rFonts w:ascii="Arial" w:hAnsi="Arial" w:cs="Arial"/>
                    </w:rPr>
                    <w:t xml:space="preserve">  Banco Central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la Deuda Externa privada se ajustan a una distribución N ( 100.12 ; 274.60 )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pStyle w:val="Ttulo9"/>
        <w:jc w:val="left"/>
      </w:pPr>
    </w:p>
    <w:p w:rsidR="00000000" w:rsidRDefault="000E1CA1">
      <w:pPr>
        <w:pStyle w:val="Ttulo9"/>
        <w:jc w:val="left"/>
      </w:pPr>
    </w:p>
    <w:p w:rsidR="00000000" w:rsidRDefault="000E1CA1">
      <w:pPr>
        <w:pStyle w:val="Ttulo9"/>
        <w:jc w:val="left"/>
      </w:pPr>
    </w:p>
    <w:p w:rsidR="00000000" w:rsidRDefault="000E1CA1">
      <w:pPr>
        <w:pStyle w:val="Ttulo9"/>
        <w:jc w:val="center"/>
        <w:rPr>
          <w:i w:val="0"/>
          <w:iCs w:val="0"/>
        </w:rPr>
      </w:pPr>
      <w:r>
        <w:rPr>
          <w:i w:val="0"/>
          <w:iCs w:val="0"/>
        </w:rPr>
        <w:t>TABLA XXIV</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12</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w:t>
            </w:r>
            <w:r>
              <w:rPr>
                <w:rFonts w:ascii="Arial" w:hAnsi="Arial"/>
                <w:snapToGrid w:val="0"/>
              </w:rPr>
              <w:t>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12</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0.210</w:t>
            </w:r>
          </w:p>
        </w:tc>
        <w:tc>
          <w:tcPr>
            <w:tcW w:w="1418" w:type="dxa"/>
            <w:vAlign w:val="center"/>
          </w:tcPr>
          <w:p w:rsidR="00000000" w:rsidRDefault="000E1CA1">
            <w:pPr>
              <w:jc w:val="center"/>
              <w:rPr>
                <w:rFonts w:ascii="Arial" w:hAnsi="Arial"/>
                <w:snapToGrid w:val="0"/>
              </w:rPr>
            </w:pPr>
            <w:r>
              <w:rPr>
                <w:rFonts w:ascii="Arial" w:hAnsi="Arial"/>
                <w:snapToGrid w:val="0"/>
              </w:rPr>
              <w:t>0.222</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pStyle w:val="Sangradetextonormal"/>
        <w:spacing w:line="480" w:lineRule="auto"/>
        <w:ind w:left="902"/>
      </w:pPr>
      <w:r>
        <w:t>Visto el valor p podemos afirmar que existe evidencia estadística para no rechazar H</w:t>
      </w:r>
      <w:r>
        <w:rPr>
          <w:vertAlign w:val="subscript"/>
        </w:rPr>
        <w:t>o</w:t>
      </w:r>
      <w:r>
        <w:t>, de que la Deuda externa privada es una variable aleatoria normal con media 100.12 y una desviaci</w:t>
      </w:r>
      <w:r>
        <w:t xml:space="preserve">ón estándar de 274.60.  </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3.3.13  </w:t>
      </w:r>
      <w:r>
        <w:rPr>
          <w:rFonts w:ascii="Arial" w:hAnsi="Arial" w:cs="Arial"/>
          <w:b/>
          <w:bCs/>
          <w:i w:val="0"/>
          <w:iCs w:val="0"/>
        </w:rPr>
        <w:t xml:space="preserve"> Balanza Comercial</w:t>
      </w:r>
    </w:p>
    <w:p w:rsidR="00000000" w:rsidRDefault="000E1CA1">
      <w:pPr>
        <w:pStyle w:val="Sangra3detindependiente"/>
        <w:ind w:left="902"/>
        <w:jc w:val="both"/>
        <w:rPr>
          <w:rFonts w:cs="Arial"/>
        </w:rPr>
      </w:pPr>
      <w:r>
        <w:t>Esta variable corresponde al saldo del valor de las exportaciones menos las importaciones de bienes durante un año en el período de 1.975 – 1.999.  A continuación se presenta en la  tabla la estadístic</w:t>
      </w:r>
      <w:r>
        <w:t>a descriptiva.</w:t>
      </w:r>
    </w:p>
    <w:p w:rsidR="00000000" w:rsidRDefault="000E1CA1">
      <w:pPr>
        <w:pStyle w:val="Ttulo1"/>
        <w:ind w:left="902"/>
        <w:rPr>
          <w:rFonts w:ascii="Arial" w:hAnsi="Arial" w:cs="Arial"/>
          <w:b/>
          <w:bCs/>
          <w:i w:val="0"/>
          <w:iCs w:val="0"/>
          <w:lang w:val="es-ES_tradnl"/>
        </w:rPr>
      </w:pPr>
    </w:p>
    <w:p w:rsidR="00000000" w:rsidRDefault="000E1CA1">
      <w:pPr>
        <w:rPr>
          <w:lang w:val="es-ES_tradnl"/>
        </w:rPr>
      </w:pPr>
    </w:p>
    <w:p w:rsidR="00000000" w:rsidRDefault="000E1CA1">
      <w:pPr>
        <w:pStyle w:val="Ttulo1"/>
        <w:ind w:left="194" w:firstLine="708"/>
        <w:jc w:val="center"/>
        <w:rPr>
          <w:rFonts w:ascii="Arial" w:hAnsi="Arial" w:cs="Arial"/>
          <w:b/>
          <w:bCs/>
          <w:i w:val="0"/>
          <w:iCs w:val="0"/>
          <w:lang w:val="es-ES_tradnl"/>
        </w:rPr>
      </w:pPr>
      <w:r>
        <w:rPr>
          <w:rFonts w:ascii="Arial" w:hAnsi="Arial" w:cs="Arial"/>
          <w:b/>
          <w:bCs/>
          <w:i w:val="0"/>
          <w:iCs w:val="0"/>
          <w:lang w:val="es-ES_tradnl"/>
        </w:rPr>
        <w:t>TABLA XXV</w:t>
      </w:r>
    </w:p>
    <w:p w:rsidR="00000000" w:rsidRDefault="000E1CA1">
      <w:pPr>
        <w:pStyle w:val="Ttulo2"/>
        <w:jc w:val="center"/>
        <w:rPr>
          <w:lang w:val="es-ES_tradnl"/>
        </w:rPr>
      </w:pPr>
      <w:r>
        <w:t>BALANZA COMERCIAL</w:t>
      </w:r>
    </w:p>
    <w:p w:rsidR="00000000" w:rsidRDefault="000E1CA1">
      <w:pPr>
        <w:ind w:left="851"/>
        <w:jc w:val="both"/>
        <w:rPr>
          <w:rFonts w:ascii="Arial" w:hAnsi="Arial" w:cs="Arial"/>
          <w:lang w:val="es-ES_tradnl"/>
        </w:rPr>
      </w:pPr>
    </w:p>
    <w:p w:rsidR="00000000" w:rsidRDefault="000E1CA1">
      <w:pPr>
        <w:ind w:left="851"/>
        <w:jc w:val="both"/>
        <w:rPr>
          <w:rFonts w:ascii="Arial" w:hAnsi="Arial" w:cs="Arial"/>
        </w:rPr>
      </w:pPr>
    </w:p>
    <w:tbl>
      <w:tblPr>
        <w:tblW w:w="6662" w:type="dxa"/>
        <w:tblInd w:w="1346"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9F"/>
      </w:tblPr>
      <w:tblGrid>
        <w:gridCol w:w="4111"/>
        <w:gridCol w:w="2551"/>
      </w:tblGrid>
      <w:tr w:rsidR="00000000">
        <w:tblPrEx>
          <w:tblCellMar>
            <w:top w:w="0" w:type="dxa"/>
            <w:bottom w:w="0" w:type="dxa"/>
          </w:tblCellMar>
        </w:tblPrEx>
        <w:tc>
          <w:tcPr>
            <w:tcW w:w="4111" w:type="dxa"/>
            <w:tcBorders>
              <w:top w:val="single" w:sz="4" w:space="0" w:color="auto"/>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Tamaño de la muestra n </w:t>
            </w:r>
          </w:p>
        </w:tc>
        <w:tc>
          <w:tcPr>
            <w:tcW w:w="2551" w:type="dxa"/>
            <w:tcBorders>
              <w:top w:val="single" w:sz="4" w:space="0" w:color="auto"/>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25</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Mínimo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-1188.97</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 xml:space="preserve">Máximo valor  </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2396.08</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Media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61.21</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Desviación estándar</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623.02</w:t>
            </w:r>
          </w:p>
        </w:tc>
      </w:tr>
      <w:tr w:rsidR="00000000">
        <w:tblPrEx>
          <w:tblCellMar>
            <w:top w:w="0" w:type="dxa"/>
            <w:bottom w:w="0" w:type="dxa"/>
          </w:tblCellMar>
        </w:tblPrEx>
        <w:tc>
          <w:tcPr>
            <w:tcW w:w="4111" w:type="dxa"/>
            <w:tcBorders>
              <w:top w:val="single" w:sz="6" w:space="0" w:color="000000"/>
              <w:left w:val="single" w:sz="4" w:space="0" w:color="auto"/>
              <w:bottom w:val="single" w:sz="6" w:space="0" w:color="000000"/>
              <w:right w:val="single" w:sz="4" w:space="0" w:color="auto"/>
            </w:tcBorders>
          </w:tcPr>
          <w:p w:rsidR="00000000" w:rsidRDefault="000E1CA1">
            <w:pPr>
              <w:jc w:val="both"/>
              <w:rPr>
                <w:rFonts w:ascii="Arial" w:hAnsi="Arial" w:cs="Arial"/>
              </w:rPr>
            </w:pPr>
            <w:r>
              <w:rPr>
                <w:rFonts w:ascii="Arial" w:hAnsi="Arial" w:cs="Arial"/>
              </w:rPr>
              <w:t>Varianza</w:t>
            </w:r>
          </w:p>
        </w:tc>
        <w:tc>
          <w:tcPr>
            <w:tcW w:w="2551" w:type="dxa"/>
            <w:tcBorders>
              <w:top w:val="single" w:sz="6" w:space="0" w:color="000000"/>
              <w:left w:val="single" w:sz="4" w:space="0" w:color="auto"/>
              <w:bottom w:val="single" w:sz="6" w:space="0" w:color="000000"/>
              <w:right w:val="single" w:sz="4" w:space="0" w:color="auto"/>
            </w:tcBorders>
          </w:tcPr>
          <w:p w:rsidR="00000000" w:rsidRDefault="000E1CA1">
            <w:pPr>
              <w:jc w:val="right"/>
              <w:rPr>
                <w:rFonts w:ascii="Arial" w:hAnsi="Arial" w:cs="Arial"/>
              </w:rPr>
            </w:pPr>
            <w:r>
              <w:rPr>
                <w:rFonts w:ascii="Arial" w:hAnsi="Arial" w:cs="Arial"/>
              </w:rPr>
              <w:t>388161.59</w:t>
            </w:r>
          </w:p>
        </w:tc>
      </w:tr>
      <w:tr w:rsidR="00000000">
        <w:tblPrEx>
          <w:tblCellMar>
            <w:top w:w="0" w:type="dxa"/>
            <w:bottom w:w="0" w:type="dxa"/>
          </w:tblCellMar>
        </w:tblPrEx>
        <w:tc>
          <w:tcPr>
            <w:tcW w:w="4111" w:type="dxa"/>
            <w:tcBorders>
              <w:top w:val="single" w:sz="6" w:space="0" w:color="000000"/>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Sesgo</w:t>
            </w:r>
          </w:p>
        </w:tc>
        <w:tc>
          <w:tcPr>
            <w:tcW w:w="2551" w:type="dxa"/>
            <w:tcBorders>
              <w:top w:val="single" w:sz="6" w:space="0" w:color="000000"/>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1.959</w:t>
            </w:r>
          </w:p>
        </w:tc>
      </w:tr>
      <w:tr w:rsidR="00000000">
        <w:tblPrEx>
          <w:tblCellMar>
            <w:top w:w="0" w:type="dxa"/>
            <w:bottom w:w="0" w:type="dxa"/>
          </w:tblCellMar>
        </w:tblPrEx>
        <w:tc>
          <w:tcPr>
            <w:tcW w:w="4111" w:type="dxa"/>
            <w:tcBorders>
              <w:top w:val="single" w:sz="4" w:space="0" w:color="auto"/>
              <w:left w:val="single" w:sz="4" w:space="0" w:color="auto"/>
              <w:bottom w:val="single" w:sz="4" w:space="0" w:color="auto"/>
              <w:right w:val="single" w:sz="4" w:space="0" w:color="auto"/>
            </w:tcBorders>
          </w:tcPr>
          <w:p w:rsidR="00000000" w:rsidRDefault="000E1CA1">
            <w:pPr>
              <w:jc w:val="both"/>
              <w:rPr>
                <w:rFonts w:ascii="Arial" w:hAnsi="Arial" w:cs="Arial"/>
              </w:rPr>
            </w:pPr>
            <w:r>
              <w:rPr>
                <w:rFonts w:ascii="Arial" w:hAnsi="Arial" w:cs="Arial"/>
              </w:rPr>
              <w:t>Kurtosis</w:t>
            </w:r>
          </w:p>
        </w:tc>
        <w:tc>
          <w:tcPr>
            <w:tcW w:w="2551" w:type="dxa"/>
            <w:tcBorders>
              <w:top w:val="single" w:sz="4" w:space="0" w:color="auto"/>
              <w:left w:val="single" w:sz="4" w:space="0" w:color="auto"/>
              <w:bottom w:val="single" w:sz="4" w:space="0" w:color="auto"/>
              <w:right w:val="single" w:sz="4" w:space="0" w:color="auto"/>
            </w:tcBorders>
          </w:tcPr>
          <w:p w:rsidR="00000000" w:rsidRDefault="000E1CA1">
            <w:pPr>
              <w:jc w:val="right"/>
              <w:rPr>
                <w:rFonts w:ascii="Arial" w:hAnsi="Arial" w:cs="Arial"/>
              </w:rPr>
            </w:pPr>
            <w:r>
              <w:rPr>
                <w:rFonts w:ascii="Arial" w:hAnsi="Arial" w:cs="Arial"/>
              </w:rPr>
              <w:t>8.225</w:t>
            </w:r>
          </w:p>
        </w:tc>
      </w:tr>
    </w:tbl>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ind w:left="851"/>
        <w:rPr>
          <w:rFonts w:cs="Arial"/>
          <w:b w:val="0"/>
          <w:color w:val="auto"/>
          <w:sz w:val="24"/>
        </w:rPr>
      </w:pPr>
    </w:p>
    <w:p w:rsidR="00000000" w:rsidRDefault="000E1CA1">
      <w:pPr>
        <w:pStyle w:val="Subttulo"/>
        <w:spacing w:line="480" w:lineRule="auto"/>
        <w:ind w:left="902"/>
        <w:rPr>
          <w:rFonts w:cs="Arial"/>
          <w:b w:val="0"/>
          <w:color w:val="auto"/>
          <w:sz w:val="24"/>
        </w:rPr>
      </w:pPr>
      <w:r>
        <w:rPr>
          <w:rFonts w:cs="Arial"/>
          <w:b w:val="0"/>
          <w:color w:val="auto"/>
          <w:sz w:val="24"/>
        </w:rPr>
        <w:t>La tabla XXV nos muestra toda la informa</w:t>
      </w:r>
      <w:r>
        <w:rPr>
          <w:rFonts w:cs="Arial"/>
          <w:b w:val="0"/>
          <w:color w:val="auto"/>
          <w:sz w:val="24"/>
        </w:rPr>
        <w:t>ción válida para un análisis.  Tenemos a la media anual que nos indica que el promedio de la balanza comercial es de 61.21 con una desviación estándar de 623.02.  En esta distribución los datos se encuentran sesgados a la derecha con respecto a la media de</w:t>
      </w:r>
      <w:r>
        <w:rPr>
          <w:rFonts w:cs="Arial"/>
          <w:b w:val="0"/>
          <w:color w:val="auto"/>
          <w:sz w:val="24"/>
        </w:rPr>
        <w:t xml:space="preserve">bido a que el coeficiente de sesgo es positivo (1.959), en lo que respecta al coeficiente de kurtosis (8.225) es leptocúrtica.  Es decir más picuda que una distribución normal estándar. </w:t>
      </w:r>
    </w:p>
    <w:p w:rsidR="00000000" w:rsidRDefault="000E1CA1">
      <w:pPr>
        <w:pStyle w:val="Subttulo"/>
        <w:spacing w:line="480" w:lineRule="auto"/>
        <w:ind w:left="902"/>
        <w:rPr>
          <w:rFonts w:cs="Arial"/>
          <w:b w:val="0"/>
          <w:color w:val="auto"/>
          <w:sz w:val="24"/>
        </w:rPr>
      </w:pPr>
      <w:r>
        <w:rPr>
          <w:rFonts w:cs="Arial"/>
          <w:b w:val="0"/>
          <w:color w:val="auto"/>
          <w:sz w:val="24"/>
        </w:rPr>
        <w:t>Podemos notar en el gráfico XXVIII, la tasa de variación de la balanz</w:t>
      </w:r>
      <w:r>
        <w:rPr>
          <w:rFonts w:cs="Arial"/>
          <w:b w:val="0"/>
          <w:color w:val="auto"/>
          <w:sz w:val="24"/>
        </w:rPr>
        <w:t>a comercial, notándose un crecimiento en el período de 1.979 – 1.985 que se atribuye a las muchas exportaciones, y en los años de 1.975, 1.9977, 1.978, 1.987 y 1.998 ha existido mayores importaciones.</w:t>
      </w:r>
    </w:p>
    <w:p w:rsidR="00000000" w:rsidRDefault="000E1CA1">
      <w:pPr>
        <w:pStyle w:val="Subttulo"/>
        <w:spacing w:line="480" w:lineRule="auto"/>
        <w:ind w:left="902"/>
        <w:rPr>
          <w:rFonts w:cs="Arial"/>
          <w:b w:val="0"/>
          <w:color w:val="auto"/>
          <w:sz w:val="24"/>
        </w:rPr>
      </w:pPr>
    </w:p>
    <w:p w:rsidR="00000000" w:rsidRDefault="000E1CA1">
      <w:pPr>
        <w:rPr>
          <w:lang w:val="es-ES_tradnl"/>
        </w:rPr>
      </w:pPr>
    </w:p>
    <w:p w:rsidR="00000000" w:rsidRDefault="000E1CA1">
      <w:pPr>
        <w:rPr>
          <w:lang w:val="es-ES_tradnl"/>
        </w:rPr>
      </w:pPr>
      <w:r>
        <w:rPr>
          <w:noProof/>
          <w:sz w:val="20"/>
        </w:rPr>
        <w:pict>
          <v:shape id="_x0000_s1103" type="#_x0000_t202" style="position:absolute;margin-left:60pt;margin-top:11.4pt;width:347.4pt;height:367.95pt;z-index:251667968" strokecolor="white">
            <v:textbox>
              <w:txbxContent>
                <w:p w:rsidR="00000000" w:rsidRDefault="00266E4B">
                  <w:r>
                    <w:rPr>
                      <w:noProof/>
                    </w:rPr>
                    <w:drawing>
                      <wp:inline distT="0" distB="0" distL="0" distR="0">
                        <wp:extent cx="4216400" cy="457200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xbxContent>
            </v:textbox>
          </v:shape>
        </w:pict>
      </w:r>
      <w:r>
        <w:rPr>
          <w:noProof/>
          <w:sz w:val="20"/>
        </w:rPr>
        <w:pict>
          <v:rect id="_x0000_s1102" style="position:absolute;margin-left:48pt;margin-top:2.4pt;width:366pt;height:421.2pt;z-index:251666944"/>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6" type="#_x0000_t202" style="position:absolute;margin-left:66pt;margin-top:6.05pt;width:330pt;height:36pt;z-index:251681280" strokecolor="white">
            <v:textbox>
              <w:txbxContent>
                <w:p w:rsidR="00000000" w:rsidRDefault="000E1CA1">
                  <w:pPr>
                    <w:rPr>
                      <w:rFonts w:ascii="Arial" w:hAnsi="Arial" w:cs="Arial"/>
                    </w:rPr>
                  </w:pPr>
                  <w:r>
                    <w:rPr>
                      <w:rFonts w:ascii="Arial" w:hAnsi="Arial" w:cs="Arial"/>
                      <w:b/>
                      <w:bCs/>
                    </w:rPr>
                    <w:t>Gráfico XXVIII.</w:t>
                  </w:r>
                  <w:r>
                    <w:rPr>
                      <w:rFonts w:ascii="Arial" w:hAnsi="Arial" w:cs="Arial"/>
                    </w:rPr>
                    <w:t xml:space="preserve">  Balanza Comercial</w:t>
                  </w:r>
                </w:p>
                <w:p w:rsidR="00000000" w:rsidRDefault="000E1CA1">
                  <w:r>
                    <w:rPr>
                      <w:rFonts w:ascii="Arial" w:hAnsi="Arial" w:cs="Arial"/>
                      <w:b/>
                      <w:bCs/>
                    </w:rPr>
                    <w:t>Fuente.</w:t>
                  </w:r>
                  <w:r>
                    <w:rPr>
                      <w:rFonts w:ascii="Arial" w:hAnsi="Arial" w:cs="Arial"/>
                    </w:rPr>
                    <w:t xml:space="preserve">  Banco Central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Sangradetextonormal"/>
        <w:spacing w:line="480" w:lineRule="auto"/>
        <w:ind w:left="902"/>
        <w:rPr>
          <w:lang w:val="es-ES_tradnl"/>
        </w:rPr>
      </w:pPr>
      <w:r>
        <w:rPr>
          <w:lang w:val="es-ES_tradnl"/>
        </w:rPr>
        <w:t>A continuación en e</w:t>
      </w:r>
      <w:r>
        <w:rPr>
          <w:lang w:val="es-ES_tradnl"/>
        </w:rPr>
        <w:t>l gráfico XXIX apreciamos la variación de la balanza comercial, notándose que hay más decrementos que incrementos a lo largo del tiempo.</w: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lang w:val="es-ES_tradnl"/>
        </w:rPr>
      </w:pPr>
      <w:r>
        <w:rPr>
          <w:rFonts w:ascii="Arial" w:hAnsi="Arial" w:cs="Arial"/>
          <w:noProof/>
          <w:sz w:val="20"/>
        </w:rPr>
        <w:pict>
          <v:shape id="_x0000_s1105" type="#_x0000_t202" style="position:absolute;left:0;text-align:left;margin-left:54pt;margin-top:16.2pt;width:354.15pt;height:413.95pt;z-index:251670016" strokecolor="white">
            <v:textbox>
              <w:txbxContent>
                <w:p w:rsidR="00000000" w:rsidRDefault="00266E4B">
                  <w:r>
                    <w:rPr>
                      <w:noProof/>
                    </w:rPr>
                    <w:drawing>
                      <wp:inline distT="0" distB="0" distL="0" distR="0">
                        <wp:extent cx="4305300" cy="5156200"/>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xbxContent>
            </v:textbox>
          </v:shape>
        </w:pict>
      </w:r>
      <w:r>
        <w:rPr>
          <w:rFonts w:ascii="Arial" w:hAnsi="Arial" w:cs="Arial"/>
          <w:noProof/>
          <w:sz w:val="20"/>
        </w:rPr>
        <w:pict>
          <v:rect id="_x0000_s1104" style="position:absolute;left:0;text-align:left;margin-left:48pt;margin-top:7.2pt;width:366pt;height:467.4pt;z-index:251668992"/>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17" type="#_x0000_t202" style="position:absolute;margin-left:60pt;margin-top:1.85pt;width:336pt;height:36pt;z-index:251682304" strokecolor="white">
            <v:textbox>
              <w:txbxContent>
                <w:p w:rsidR="00000000" w:rsidRDefault="000E1CA1">
                  <w:pPr>
                    <w:rPr>
                      <w:rFonts w:ascii="Arial" w:hAnsi="Arial" w:cs="Arial"/>
                    </w:rPr>
                  </w:pPr>
                  <w:r>
                    <w:rPr>
                      <w:rFonts w:ascii="Arial" w:hAnsi="Arial" w:cs="Arial"/>
                      <w:b/>
                      <w:bCs/>
                    </w:rPr>
                    <w:t>Gráfico XXIX.</w:t>
                  </w:r>
                  <w:r>
                    <w:rPr>
                      <w:rFonts w:ascii="Arial" w:hAnsi="Arial" w:cs="Arial"/>
                    </w:rPr>
                    <w:t xml:space="preserve">  Variación de la Balanza Comercial</w:t>
                  </w:r>
                </w:p>
                <w:p w:rsidR="00000000" w:rsidRDefault="000E1CA1">
                  <w:r>
                    <w:rPr>
                      <w:rFonts w:ascii="Arial" w:hAnsi="Arial" w:cs="Arial"/>
                      <w:b/>
                      <w:bCs/>
                    </w:rPr>
                    <w:t>Fuente.</w:t>
                  </w:r>
                  <w:r>
                    <w:rPr>
                      <w:rFonts w:ascii="Arial" w:hAnsi="Arial" w:cs="Arial"/>
                    </w:rPr>
                    <w:t xml:space="preserve">  Banco Ce</w:t>
                  </w:r>
                  <w:r>
                    <w:rPr>
                      <w:rFonts w:ascii="Arial" w:hAnsi="Arial" w:cs="Arial"/>
                    </w:rPr>
                    <w:t>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4"/>
        <w:spacing w:line="480" w:lineRule="auto"/>
        <w:ind w:left="851"/>
        <w:jc w:val="center"/>
        <w:rPr>
          <w:rFonts w:ascii="Arial" w:hAnsi="Arial"/>
          <w:bCs w:val="0"/>
        </w:rPr>
      </w:pPr>
      <w:r>
        <w:rPr>
          <w:rFonts w:ascii="Arial" w:hAnsi="Arial"/>
          <w:bCs w:val="0"/>
        </w:rPr>
        <w:t>PRUEBA DE KOLMOGOROV</w:t>
      </w:r>
    </w:p>
    <w:p w:rsidR="00000000" w:rsidRDefault="000E1CA1"/>
    <w:p w:rsidR="00000000" w:rsidRDefault="000E1CA1"/>
    <w:p w:rsidR="00000000" w:rsidRDefault="000E1CA1"/>
    <w:p w:rsidR="00000000" w:rsidRDefault="000E1CA1">
      <w:pPr>
        <w:spacing w:line="480" w:lineRule="auto"/>
        <w:ind w:left="902"/>
        <w:jc w:val="both"/>
        <w:rPr>
          <w:rFonts w:ascii="Arial" w:hAnsi="Arial"/>
          <w:iCs/>
        </w:rPr>
      </w:pPr>
      <w:r>
        <w:rPr>
          <w:rFonts w:ascii="Arial" w:hAnsi="Arial"/>
          <w:b/>
          <w:iCs/>
        </w:rPr>
        <w:t>H</w:t>
      </w:r>
      <w:r>
        <w:rPr>
          <w:rFonts w:ascii="Arial" w:hAnsi="Arial"/>
          <w:b/>
          <w:iCs/>
          <w:vertAlign w:val="subscript"/>
        </w:rPr>
        <w:t>o</w:t>
      </w:r>
      <w:r>
        <w:rPr>
          <w:rFonts w:ascii="Arial" w:hAnsi="Arial"/>
          <w:b/>
          <w:iCs/>
        </w:rPr>
        <w:t>:</w:t>
      </w:r>
      <w:r>
        <w:rPr>
          <w:rFonts w:ascii="Arial" w:hAnsi="Arial"/>
          <w:iCs/>
        </w:rPr>
        <w:t xml:space="preserve"> Los datos de la balanza comercial se ajustan a una d</w:t>
      </w:r>
      <w:r>
        <w:rPr>
          <w:rFonts w:ascii="Arial" w:hAnsi="Arial"/>
          <w:iCs/>
        </w:rPr>
        <w:t>istribución N ( 61.21 ; 623.02 )</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spacing w:line="480" w:lineRule="auto"/>
        <w:ind w:left="851"/>
        <w:jc w:val="center"/>
        <w:rPr>
          <w:rFonts w:ascii="Arial" w:hAnsi="Arial"/>
          <w:iCs/>
        </w:rPr>
      </w:pPr>
      <w:r>
        <w:rPr>
          <w:rFonts w:ascii="Arial" w:hAnsi="Arial"/>
          <w:iCs/>
        </w:rPr>
        <w:t>Vs.</w:t>
      </w:r>
    </w:p>
    <w:p w:rsidR="00000000" w:rsidRDefault="000E1CA1">
      <w:pPr>
        <w:ind w:left="851"/>
        <w:jc w:val="center"/>
        <w:rPr>
          <w:rFonts w:ascii="Arial" w:hAnsi="Arial"/>
          <w:iCs/>
        </w:rPr>
      </w:pPr>
    </w:p>
    <w:p w:rsidR="00000000" w:rsidRDefault="000E1CA1">
      <w:pPr>
        <w:ind w:left="851"/>
        <w:jc w:val="center"/>
        <w:rPr>
          <w:rFonts w:ascii="Arial" w:hAnsi="Arial"/>
          <w:iCs/>
        </w:rPr>
      </w:pPr>
    </w:p>
    <w:p w:rsidR="00000000" w:rsidRDefault="000E1CA1">
      <w:pPr>
        <w:spacing w:line="480" w:lineRule="auto"/>
        <w:ind w:left="902"/>
        <w:jc w:val="both"/>
        <w:rPr>
          <w:rFonts w:ascii="Arial" w:hAnsi="Arial"/>
          <w:iCs/>
          <w:vertAlign w:val="subscript"/>
        </w:rPr>
      </w:pPr>
      <w:r>
        <w:rPr>
          <w:rFonts w:ascii="Arial" w:hAnsi="Arial"/>
          <w:b/>
          <w:iCs/>
        </w:rPr>
        <w:t>H</w:t>
      </w:r>
      <w:r>
        <w:rPr>
          <w:rFonts w:ascii="Arial" w:hAnsi="Arial"/>
          <w:b/>
          <w:iCs/>
          <w:vertAlign w:val="subscript"/>
        </w:rPr>
        <w:t>1</w:t>
      </w:r>
      <w:r>
        <w:rPr>
          <w:rFonts w:ascii="Arial" w:hAnsi="Arial"/>
          <w:b/>
          <w:iCs/>
        </w:rPr>
        <w:t>:</w:t>
      </w:r>
      <w:r>
        <w:rPr>
          <w:rFonts w:ascii="Arial" w:hAnsi="Arial"/>
          <w:iCs/>
        </w:rPr>
        <w:t xml:space="preserve"> No es verdad H</w:t>
      </w:r>
      <w:r>
        <w:rPr>
          <w:rFonts w:ascii="Arial" w:hAnsi="Arial"/>
          <w:iCs/>
          <w:vertAlign w:val="subscript"/>
        </w:rPr>
        <w:t>o</w:t>
      </w: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ind w:left="902"/>
        <w:jc w:val="both"/>
        <w:rPr>
          <w:rFonts w:ascii="Arial" w:hAnsi="Arial"/>
          <w:iCs/>
        </w:rPr>
      </w:pPr>
    </w:p>
    <w:p w:rsidR="00000000" w:rsidRDefault="000E1CA1">
      <w:pPr>
        <w:pStyle w:val="Ttulo9"/>
        <w:jc w:val="center"/>
        <w:rPr>
          <w:i w:val="0"/>
          <w:iCs w:val="0"/>
        </w:rPr>
      </w:pPr>
      <w:r>
        <w:rPr>
          <w:i w:val="0"/>
          <w:iCs w:val="0"/>
        </w:rPr>
        <w:t>TABLA XXVI</w:t>
      </w:r>
    </w:p>
    <w:p w:rsidR="00000000" w:rsidRDefault="000E1CA1">
      <w:pPr>
        <w:ind w:left="902"/>
        <w:jc w:val="center"/>
        <w:rPr>
          <w:rFonts w:ascii="Arial" w:hAnsi="Arial"/>
          <w:b/>
        </w:rPr>
      </w:pPr>
      <w:r>
        <w:rPr>
          <w:rFonts w:ascii="Arial" w:hAnsi="Arial"/>
          <w:b/>
        </w:rPr>
        <w:t>PRUEBA DE KOLMOGOROV PARA X</w:t>
      </w:r>
      <w:r>
        <w:rPr>
          <w:rFonts w:ascii="Arial" w:hAnsi="Arial"/>
          <w:b/>
          <w:vertAlign w:val="subscript"/>
        </w:rPr>
        <w:t>13</w:t>
      </w:r>
    </w:p>
    <w:p w:rsidR="00000000" w:rsidRDefault="000E1CA1">
      <w:pPr>
        <w:ind w:left="851"/>
        <w:jc w:val="center"/>
        <w:rPr>
          <w:rFonts w:ascii="Arial" w:hAnsi="Arial"/>
          <w:b/>
        </w:rPr>
      </w:pPr>
    </w:p>
    <w:p w:rsidR="00000000" w:rsidRDefault="000E1CA1">
      <w:pPr>
        <w:ind w:left="851"/>
        <w:jc w:val="center"/>
        <w:rPr>
          <w:rFonts w:ascii="Arial" w:hAnsi="Arial"/>
          <w:b/>
        </w:rPr>
      </w:pPr>
    </w:p>
    <w:p w:rsidR="00000000" w:rsidRDefault="000E1CA1">
      <w:pPr>
        <w:ind w:left="851"/>
        <w:jc w:val="center"/>
        <w:rPr>
          <w:rFonts w:ascii="Arial" w:hAnsi="Arial"/>
          <w: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1418"/>
        <w:gridCol w:w="1418"/>
        <w:gridCol w:w="1418"/>
      </w:tblGrid>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Variable</w:t>
            </w:r>
          </w:p>
        </w:tc>
        <w:tc>
          <w:tcPr>
            <w:tcW w:w="1418" w:type="dxa"/>
            <w:vAlign w:val="center"/>
          </w:tcPr>
          <w:p w:rsidR="00000000" w:rsidRDefault="000E1CA1">
            <w:pPr>
              <w:jc w:val="center"/>
              <w:rPr>
                <w:rFonts w:ascii="Arial" w:hAnsi="Arial"/>
                <w:snapToGrid w:val="0"/>
              </w:rPr>
            </w:pPr>
            <w:r>
              <w:rPr>
                <w:rFonts w:ascii="Arial" w:hAnsi="Arial"/>
                <w:snapToGrid w:val="0"/>
              </w:rPr>
              <w:t>Tamaño de la muestra</w:t>
            </w:r>
          </w:p>
        </w:tc>
        <w:tc>
          <w:tcPr>
            <w:tcW w:w="1418" w:type="dxa"/>
            <w:vAlign w:val="center"/>
          </w:tcPr>
          <w:p w:rsidR="00000000" w:rsidRDefault="000E1CA1">
            <w:pPr>
              <w:jc w:val="center"/>
              <w:rPr>
                <w:rFonts w:ascii="Arial" w:hAnsi="Arial"/>
                <w:snapToGrid w:val="0"/>
              </w:rPr>
            </w:pPr>
            <w:r>
              <w:rPr>
                <w:rFonts w:ascii="Arial" w:hAnsi="Arial"/>
                <w:snapToGrid w:val="0"/>
              </w:rPr>
              <w:t>Max. Diferencia</w:t>
            </w:r>
          </w:p>
        </w:tc>
        <w:tc>
          <w:tcPr>
            <w:tcW w:w="1418" w:type="dxa"/>
            <w:vAlign w:val="center"/>
          </w:tcPr>
          <w:p w:rsidR="00000000" w:rsidRDefault="000E1CA1">
            <w:pPr>
              <w:jc w:val="center"/>
              <w:rPr>
                <w:rFonts w:ascii="Arial" w:hAnsi="Arial"/>
                <w:snapToGrid w:val="0"/>
              </w:rPr>
            </w:pPr>
            <w:r>
              <w:rPr>
                <w:rFonts w:ascii="Arial" w:hAnsi="Arial"/>
                <w:snapToGrid w:val="0"/>
              </w:rPr>
              <w:t>Prob.            (2 colas)</w:t>
            </w:r>
          </w:p>
        </w:tc>
      </w:tr>
      <w:tr w:rsidR="00000000">
        <w:tblPrEx>
          <w:tblCellMar>
            <w:top w:w="0" w:type="dxa"/>
            <w:bottom w:w="0" w:type="dxa"/>
          </w:tblCellMar>
        </w:tblPrEx>
        <w:tc>
          <w:tcPr>
            <w:tcW w:w="1418" w:type="dxa"/>
            <w:vAlign w:val="center"/>
          </w:tcPr>
          <w:p w:rsidR="00000000" w:rsidRDefault="000E1CA1">
            <w:pPr>
              <w:jc w:val="center"/>
              <w:rPr>
                <w:rFonts w:ascii="Arial" w:hAnsi="Arial"/>
                <w:snapToGrid w:val="0"/>
              </w:rPr>
            </w:pPr>
            <w:r>
              <w:rPr>
                <w:rFonts w:ascii="Arial" w:hAnsi="Arial"/>
                <w:snapToGrid w:val="0"/>
              </w:rPr>
              <w:t>X</w:t>
            </w:r>
            <w:r>
              <w:rPr>
                <w:rFonts w:ascii="Arial" w:hAnsi="Arial"/>
                <w:snapToGrid w:val="0"/>
                <w:vertAlign w:val="subscript"/>
              </w:rPr>
              <w:t>13</w:t>
            </w:r>
          </w:p>
        </w:tc>
        <w:tc>
          <w:tcPr>
            <w:tcW w:w="1418" w:type="dxa"/>
            <w:vAlign w:val="center"/>
          </w:tcPr>
          <w:p w:rsidR="00000000" w:rsidRDefault="000E1CA1">
            <w:pPr>
              <w:jc w:val="center"/>
              <w:rPr>
                <w:rFonts w:ascii="Arial" w:hAnsi="Arial"/>
                <w:snapToGrid w:val="0"/>
              </w:rPr>
            </w:pPr>
            <w:r>
              <w:rPr>
                <w:rFonts w:ascii="Arial" w:hAnsi="Arial"/>
                <w:snapToGrid w:val="0"/>
              </w:rPr>
              <w:t>25</w:t>
            </w:r>
          </w:p>
        </w:tc>
        <w:tc>
          <w:tcPr>
            <w:tcW w:w="1418" w:type="dxa"/>
            <w:vAlign w:val="center"/>
          </w:tcPr>
          <w:p w:rsidR="00000000" w:rsidRDefault="000E1CA1">
            <w:pPr>
              <w:jc w:val="center"/>
              <w:rPr>
                <w:rFonts w:ascii="Arial" w:hAnsi="Arial"/>
                <w:snapToGrid w:val="0"/>
              </w:rPr>
            </w:pPr>
            <w:r>
              <w:rPr>
                <w:rFonts w:ascii="Arial" w:hAnsi="Arial"/>
                <w:snapToGrid w:val="0"/>
              </w:rPr>
              <w:t>0.192</w:t>
            </w:r>
          </w:p>
        </w:tc>
        <w:tc>
          <w:tcPr>
            <w:tcW w:w="1418" w:type="dxa"/>
            <w:vAlign w:val="center"/>
          </w:tcPr>
          <w:p w:rsidR="00000000" w:rsidRDefault="000E1CA1">
            <w:pPr>
              <w:jc w:val="center"/>
              <w:rPr>
                <w:rFonts w:ascii="Arial" w:hAnsi="Arial"/>
                <w:snapToGrid w:val="0"/>
              </w:rPr>
            </w:pPr>
            <w:r>
              <w:rPr>
                <w:rFonts w:ascii="Arial" w:hAnsi="Arial"/>
                <w:snapToGrid w:val="0"/>
              </w:rPr>
              <w:t>0.318</w:t>
            </w:r>
          </w:p>
        </w:tc>
      </w:tr>
    </w:tbl>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ind w:left="851"/>
        <w:jc w:val="both"/>
        <w:rPr>
          <w:rFonts w:ascii="Arial" w:hAnsi="Arial"/>
          <w:snapToGrid w:val="0"/>
        </w:rPr>
      </w:pPr>
    </w:p>
    <w:p w:rsidR="00000000" w:rsidRDefault="000E1CA1">
      <w:pPr>
        <w:spacing w:line="480" w:lineRule="auto"/>
        <w:ind w:left="902"/>
        <w:jc w:val="both"/>
        <w:rPr>
          <w:rFonts w:ascii="Arial" w:hAnsi="Arial" w:cs="Arial"/>
          <w:lang w:val="es-ES_tradnl"/>
        </w:rPr>
      </w:pPr>
      <w:r>
        <w:rPr>
          <w:rFonts w:ascii="Arial" w:hAnsi="Arial" w:cs="Arial"/>
        </w:rPr>
        <w:t>Visto el valor p podemos afirmar que existe eviden</w:t>
      </w:r>
      <w:r>
        <w:rPr>
          <w:rFonts w:ascii="Arial" w:hAnsi="Arial" w:cs="Arial"/>
        </w:rPr>
        <w:t>cia estadística para no rechazar H</w:t>
      </w:r>
      <w:r>
        <w:rPr>
          <w:rFonts w:ascii="Arial" w:hAnsi="Arial" w:cs="Arial"/>
          <w:vertAlign w:val="subscript"/>
        </w:rPr>
        <w:t>o</w:t>
      </w:r>
      <w:r>
        <w:rPr>
          <w:rFonts w:ascii="Arial" w:hAnsi="Arial" w:cs="Arial"/>
        </w:rPr>
        <w:t xml:space="preserve">, de que la Balanza comercial es una variable aleatoria normal con media 61.21 y una desviación estándar de 623.02.  </w: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rsidP="000E1CA1">
      <w:pPr>
        <w:pStyle w:val="Textoindependiente"/>
        <w:numPr>
          <w:ilvl w:val="1"/>
          <w:numId w:val="34"/>
        </w:numPr>
        <w:spacing w:line="480" w:lineRule="auto"/>
        <w:rPr>
          <w:rFonts w:ascii="Arial" w:hAnsi="Arial" w:cs="Arial"/>
          <w:b/>
          <w:bCs/>
        </w:rPr>
      </w:pPr>
      <w:r>
        <w:rPr>
          <w:rFonts w:ascii="Arial" w:hAnsi="Arial" w:cs="Arial"/>
          <w:b/>
          <w:bCs/>
        </w:rPr>
        <w:t>Análisis Univariado de las compañías</w:t>
      </w:r>
      <w:r>
        <w:rPr>
          <w:rFonts w:ascii="Arial" w:hAnsi="Arial" w:cs="Arial"/>
        </w:rPr>
        <w:t xml:space="preserve"> </w:t>
      </w:r>
      <w:r>
        <w:rPr>
          <w:rFonts w:ascii="Arial" w:hAnsi="Arial" w:cs="Arial"/>
          <w:b/>
          <w:bCs/>
        </w:rPr>
        <w:t>por rama de actividad</w:t>
      </w:r>
    </w:p>
    <w:p w:rsidR="00000000" w:rsidRDefault="000E1CA1">
      <w:pPr>
        <w:pStyle w:val="Textoindependiente"/>
        <w:spacing w:line="480" w:lineRule="auto"/>
        <w:ind w:left="902"/>
        <w:rPr>
          <w:rFonts w:ascii="Arial" w:hAnsi="Arial" w:cs="Arial"/>
        </w:rPr>
      </w:pPr>
      <w:r>
        <w:rPr>
          <w:rFonts w:ascii="Arial" w:hAnsi="Arial" w:cs="Arial"/>
          <w:lang w:val="es-ES_tradnl"/>
        </w:rPr>
        <w:t>E</w:t>
      </w:r>
      <w:r>
        <w:rPr>
          <w:rFonts w:ascii="Arial" w:hAnsi="Arial" w:cs="Arial"/>
        </w:rPr>
        <w:t>n este estudio se presentarán en especi</w:t>
      </w:r>
      <w:r>
        <w:rPr>
          <w:rFonts w:ascii="Arial" w:hAnsi="Arial" w:cs="Arial"/>
        </w:rPr>
        <w:t xml:space="preserve">al las estadísticas descriptivas, gráficos del total de las actividades así como también la tasa de variación de las más representativas.  La estadística descriptiva al igual que en el análisis univariado de las compañías de la Región Sierra, está en base </w:t>
      </w:r>
      <w:r>
        <w:rPr>
          <w:rFonts w:ascii="Arial" w:hAnsi="Arial" w:cs="Arial"/>
        </w:rPr>
        <w:t>a los incrementos.</w:t>
      </w: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Presentamos la clasificación de las actividades económicas mencionadas en el primer capítulo, las cuales son:  Agricultura, Minas y Canteras, Industrias, Electricidad, Construcción, Comercio, Transporte, Servicios a empresas, Servicio</w:t>
      </w:r>
      <w:r>
        <w:rPr>
          <w:rFonts w:ascii="Arial" w:hAnsi="Arial" w:cs="Arial"/>
        </w:rPr>
        <w:t>s personales.</w:t>
      </w: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ind w:left="194" w:firstLine="708"/>
        <w:jc w:val="both"/>
        <w:rPr>
          <w:rFonts w:ascii="Arial" w:hAnsi="Arial" w:cs="Arial"/>
        </w:rPr>
      </w:pPr>
      <w:r>
        <w:rPr>
          <w:rFonts w:ascii="Arial" w:hAnsi="Arial" w:cs="Arial"/>
        </w:rPr>
        <w:t>A continuación la descripción de las variables de estudio:</w:t>
      </w:r>
    </w:p>
    <w:p w:rsidR="00000000" w:rsidRDefault="000E1CA1">
      <w:pPr>
        <w:jc w:val="both"/>
        <w:rPr>
          <w:rFonts w:ascii="Arial" w:hAnsi="Arial" w:cs="Arial"/>
        </w:rPr>
      </w:pPr>
    </w:p>
    <w:p w:rsidR="00000000" w:rsidRDefault="000E1CA1">
      <w:pPr>
        <w:pStyle w:val="Ttulo1"/>
        <w:spacing w:line="480" w:lineRule="auto"/>
        <w:ind w:left="902"/>
        <w:rPr>
          <w:rFonts w:ascii="Arial" w:hAnsi="Arial" w:cs="Arial"/>
          <w:i w:val="0"/>
          <w:iCs w:val="0"/>
        </w:rPr>
      </w:pPr>
      <w:r>
        <w:rPr>
          <w:rFonts w:ascii="Arial" w:hAnsi="Arial" w:cs="Arial"/>
          <w:b/>
          <w:bCs/>
          <w:i w:val="0"/>
          <w:iCs w:val="0"/>
        </w:rPr>
        <w:t>X</w:t>
      </w:r>
      <w:r>
        <w:rPr>
          <w:rFonts w:ascii="Arial" w:hAnsi="Arial" w:cs="Arial"/>
          <w:b/>
          <w:bCs/>
          <w:i w:val="0"/>
          <w:iCs w:val="0"/>
          <w:vertAlign w:val="subscript"/>
        </w:rPr>
        <w:t>1</w:t>
      </w:r>
      <w:r>
        <w:rPr>
          <w:rFonts w:ascii="Arial" w:hAnsi="Arial" w:cs="Arial"/>
          <w:b/>
          <w:bCs/>
          <w:i w:val="0"/>
          <w:iCs w:val="0"/>
        </w:rPr>
        <w:t xml:space="preserve">:  </w:t>
      </w:r>
      <w:r>
        <w:rPr>
          <w:rFonts w:ascii="Arial" w:hAnsi="Arial" w:cs="Arial"/>
          <w:i w:val="0"/>
          <w:iCs w:val="0"/>
        </w:rPr>
        <w:t>Número de compañías</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2</w:t>
      </w:r>
      <w:r>
        <w:rPr>
          <w:rFonts w:ascii="Arial" w:hAnsi="Arial" w:cs="Arial"/>
          <w:b/>
          <w:bCs/>
          <w:i w:val="0"/>
          <w:iCs w:val="0"/>
          <w:lang w:val="es-ES_tradnl"/>
        </w:rPr>
        <w:t xml:space="preserve">:  </w:t>
      </w:r>
      <w:r>
        <w:rPr>
          <w:rFonts w:ascii="Arial" w:hAnsi="Arial" w:cs="Arial"/>
          <w:i w:val="0"/>
          <w:iCs w:val="0"/>
        </w:rPr>
        <w:t>Activos de las compañías</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3</w:t>
      </w:r>
      <w:r>
        <w:rPr>
          <w:rFonts w:ascii="Arial" w:hAnsi="Arial" w:cs="Arial"/>
          <w:i w:val="0"/>
          <w:iCs w:val="0"/>
          <w:lang w:val="es-ES_tradnl"/>
        </w:rPr>
        <w:t xml:space="preserve">:  </w:t>
      </w:r>
      <w:r>
        <w:rPr>
          <w:rFonts w:ascii="Arial" w:hAnsi="Arial" w:cs="Arial"/>
          <w:i w:val="0"/>
          <w:iCs w:val="0"/>
        </w:rPr>
        <w:t>Pasivos de las compañías</w:t>
      </w: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4</w:t>
      </w:r>
      <w:r>
        <w:rPr>
          <w:rFonts w:ascii="Arial" w:hAnsi="Arial" w:cs="Arial"/>
          <w:i w:val="0"/>
          <w:iCs w:val="0"/>
          <w:lang w:val="es-ES_tradnl"/>
        </w:rPr>
        <w:t xml:space="preserve">:  </w:t>
      </w:r>
      <w:r>
        <w:rPr>
          <w:rFonts w:ascii="Arial" w:hAnsi="Arial" w:cs="Arial"/>
          <w:i w:val="0"/>
          <w:iCs w:val="0"/>
        </w:rPr>
        <w:t>Patrimonios de las compañías</w:t>
      </w:r>
    </w:p>
    <w:p w:rsidR="00000000" w:rsidRDefault="000E1CA1">
      <w:pPr>
        <w:ind w:left="902"/>
        <w:jc w:val="both"/>
        <w:rPr>
          <w:rFonts w:ascii="Arial" w:hAnsi="Arial" w:cs="Arial"/>
        </w:rPr>
      </w:pPr>
      <w:r>
        <w:rPr>
          <w:rFonts w:ascii="Arial" w:hAnsi="Arial" w:cs="Arial"/>
          <w:b/>
          <w:snapToGrid w:val="0"/>
        </w:rPr>
        <w:t>X</w:t>
      </w:r>
      <w:r>
        <w:rPr>
          <w:rFonts w:ascii="Arial" w:hAnsi="Arial" w:cs="Arial"/>
          <w:b/>
          <w:snapToGrid w:val="0"/>
          <w:vertAlign w:val="subscript"/>
        </w:rPr>
        <w:t>5</w:t>
      </w:r>
      <w:r>
        <w:rPr>
          <w:rFonts w:ascii="Arial" w:hAnsi="Arial" w:cs="Arial"/>
          <w:b/>
          <w:snapToGrid w:val="0"/>
        </w:rPr>
        <w:t xml:space="preserve">:  </w:t>
      </w:r>
      <w:r>
        <w:rPr>
          <w:rFonts w:ascii="Arial" w:hAnsi="Arial" w:cs="Arial"/>
        </w:rPr>
        <w:t>Ventas de las compañías</w:t>
      </w:r>
    </w:p>
    <w:p w:rsidR="00000000" w:rsidRDefault="000E1CA1">
      <w:pPr>
        <w:ind w:left="902"/>
        <w:jc w:val="both"/>
        <w:rPr>
          <w:rFonts w:ascii="Arial" w:hAnsi="Arial" w:cs="Arial"/>
        </w:rPr>
      </w:pPr>
    </w:p>
    <w:p w:rsidR="00000000" w:rsidRDefault="000E1CA1">
      <w:pPr>
        <w:ind w:left="902"/>
        <w:jc w:val="both"/>
        <w:rPr>
          <w:rFonts w:ascii="Arial" w:hAnsi="Arial" w:cs="Arial"/>
          <w:bCs/>
        </w:rPr>
      </w:pPr>
      <w:r>
        <w:rPr>
          <w:rFonts w:ascii="Arial" w:hAnsi="Arial" w:cs="Arial"/>
          <w:b/>
          <w:snapToGrid w:val="0"/>
        </w:rPr>
        <w:t>X</w:t>
      </w:r>
      <w:r>
        <w:rPr>
          <w:rFonts w:ascii="Arial" w:hAnsi="Arial" w:cs="Arial"/>
          <w:b/>
          <w:snapToGrid w:val="0"/>
          <w:vertAlign w:val="subscript"/>
        </w:rPr>
        <w:t>6</w:t>
      </w:r>
      <w:r>
        <w:rPr>
          <w:rFonts w:ascii="Arial" w:hAnsi="Arial" w:cs="Arial"/>
          <w:b/>
          <w:snapToGrid w:val="0"/>
        </w:rPr>
        <w:t xml:space="preserve">:   </w:t>
      </w:r>
      <w:r>
        <w:rPr>
          <w:rFonts w:ascii="Arial" w:hAnsi="Arial" w:cs="Arial"/>
          <w:bCs/>
          <w:snapToGrid w:val="0"/>
        </w:rPr>
        <w:t>Producto Interno Bruto (</w:t>
      </w:r>
      <w:r>
        <w:rPr>
          <w:rFonts w:ascii="Arial" w:hAnsi="Arial" w:cs="Arial"/>
          <w:bCs/>
          <w:snapToGrid w:val="0"/>
        </w:rPr>
        <w:t>PIB)</w:t>
      </w:r>
    </w:p>
    <w:p w:rsidR="00000000" w:rsidRDefault="000E1CA1">
      <w:pPr>
        <w:ind w:left="902"/>
        <w:jc w:val="both"/>
        <w:rPr>
          <w:rFonts w:ascii="Arial" w:hAnsi="Arial" w:cs="Arial"/>
        </w:rPr>
      </w:pPr>
      <w:r>
        <w:rPr>
          <w:rFonts w:ascii="Arial" w:hAnsi="Arial" w:cs="Arial"/>
          <w:b/>
          <w:snapToGrid w:val="0"/>
          <w:vertAlign w:val="subscript"/>
        </w:rPr>
        <w:t xml:space="preserve">     </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center"/>
        <w:rPr>
          <w:lang w:val="es-ES_tradnl"/>
        </w:rPr>
      </w:pP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3.4.1</w:t>
      </w:r>
      <w:r>
        <w:rPr>
          <w:rFonts w:ascii="Arial" w:hAnsi="Arial" w:cs="Arial"/>
          <w:i w:val="0"/>
          <w:iCs w:val="0"/>
          <w:lang w:val="es-ES_tradnl"/>
        </w:rPr>
        <w:t xml:space="preserve">  </w:t>
      </w:r>
      <w:r>
        <w:rPr>
          <w:rFonts w:ascii="Arial" w:hAnsi="Arial" w:cs="Arial"/>
          <w:b/>
          <w:bCs/>
          <w:i w:val="0"/>
          <w:iCs w:val="0"/>
          <w:lang w:val="es-ES_tradnl"/>
        </w:rPr>
        <w:t xml:space="preserve">Número de compañías </w:t>
      </w:r>
    </w:p>
    <w:p w:rsidR="00000000" w:rsidRDefault="000E1CA1">
      <w:pPr>
        <w:pStyle w:val="Sangra3detindependiente"/>
        <w:ind w:left="902"/>
        <w:jc w:val="both"/>
      </w:pPr>
      <w:r>
        <w:t>Esta variable representa a la cantidad anual global de compañías,  en el período de 1.975 – 1.999 por rama de actividad.  Podemos observar en el gráfico XXX las actividades más representativas según el número de c</w:t>
      </w:r>
      <w:r>
        <w:t>ompañías.</w:t>
      </w:r>
    </w:p>
    <w:p w:rsidR="00000000" w:rsidRDefault="000E1CA1">
      <w:pPr>
        <w:pStyle w:val="Sangra3detindependiente"/>
        <w:spacing w:line="240" w:lineRule="auto"/>
        <w:ind w:left="902"/>
        <w:jc w:val="both"/>
      </w:pPr>
      <w:r>
        <w:rPr>
          <w:noProof/>
          <w:sz w:val="20"/>
          <w:lang w:val="es-ES"/>
        </w:rPr>
        <w:pict>
          <v:rect id="_x0000_s1106" style="position:absolute;left:0;text-align:left;margin-left:48pt;margin-top:9.6pt;width:366pt;height:329.4pt;z-index:251671040"/>
        </w:pict>
      </w:r>
    </w:p>
    <w:p w:rsidR="00000000" w:rsidRDefault="000E1CA1">
      <w:pPr>
        <w:pStyle w:val="Sangra3detindependiente"/>
        <w:ind w:left="902"/>
        <w:jc w:val="both"/>
      </w:pPr>
      <w:r>
        <w:rPr>
          <w:noProof/>
          <w:sz w:val="20"/>
          <w:lang w:val="es-ES"/>
        </w:rPr>
        <w:pict>
          <v:shape id="_x0000_s1120" type="#_x0000_t202" style="position:absolute;left:0;text-align:left;margin-left:54pt;margin-top:1.2pt;width:354.15pt;height:283.2pt;z-index:251685376" strokecolor="white">
            <v:textbox>
              <w:txbxContent>
                <w:p w:rsidR="00000000" w:rsidRDefault="00266E4B">
                  <w:r>
                    <w:rPr>
                      <w:noProof/>
                    </w:rPr>
                    <w:drawing>
                      <wp:inline distT="0" distB="0" distL="0" distR="0">
                        <wp:extent cx="4305300" cy="3492500"/>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rPr>
          <w:noProof/>
          <w:sz w:val="20"/>
          <w:lang w:val="es-ES"/>
        </w:rPr>
        <w:pict>
          <v:shape id="_x0000_s1118" type="#_x0000_t202" style="position:absolute;left:0;text-align:left;margin-left:60pt;margin-top:4.25pt;width:342pt;height:36pt;z-index:251683328" strokecolor="white">
            <v:textbox>
              <w:txbxContent>
                <w:p w:rsidR="00000000" w:rsidRDefault="000E1CA1">
                  <w:pPr>
                    <w:rPr>
                      <w:rFonts w:ascii="Arial" w:hAnsi="Arial" w:cs="Arial"/>
                    </w:rPr>
                  </w:pPr>
                  <w:r>
                    <w:rPr>
                      <w:rFonts w:ascii="Arial" w:hAnsi="Arial" w:cs="Arial"/>
                      <w:b/>
                      <w:bCs/>
                    </w:rPr>
                    <w:t>Gráfico XXX.</w:t>
                  </w:r>
                  <w:r>
                    <w:rPr>
                      <w:rFonts w:ascii="Arial" w:hAnsi="Arial" w:cs="Arial"/>
                    </w:rPr>
                    <w:t xml:space="preserve">  Número de compañías por rama de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t>A continuación en la tabla XXVII se presenta la estadística descriptiva, siendo Comercio, Industrias y Servicios a Empresas las más representativas y en el gráfico XXXI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3.4.2</w:t>
      </w:r>
      <w:r>
        <w:rPr>
          <w:rFonts w:ascii="Arial" w:hAnsi="Arial" w:cs="Arial"/>
          <w:i w:val="0"/>
          <w:iCs w:val="0"/>
          <w:lang w:val="es-ES_tradnl"/>
        </w:rPr>
        <w:t xml:space="preserve">  </w:t>
      </w:r>
      <w:r>
        <w:rPr>
          <w:rFonts w:ascii="Arial" w:hAnsi="Arial" w:cs="Arial"/>
          <w:b/>
          <w:bCs/>
          <w:i w:val="0"/>
          <w:iCs w:val="0"/>
          <w:lang w:val="es-ES_tradnl"/>
        </w:rPr>
        <w:t xml:space="preserve">Activos de las compañías </w:t>
      </w:r>
    </w:p>
    <w:p w:rsidR="00000000" w:rsidRDefault="000E1CA1">
      <w:pPr>
        <w:pStyle w:val="Sangra3detindependiente"/>
        <w:ind w:left="902"/>
        <w:jc w:val="both"/>
      </w:pPr>
      <w:r>
        <w:t>Esta variable representa a la cantidad anual global de los activos de  las compañías, en el período de 1.975 – 1.999 por rama de actividad.  Podemos observar en el gráfico XXXII las act</w:t>
      </w:r>
      <w:r>
        <w:t>ividades más representativas según la cantidad de activos de las compañías.</w:t>
      </w:r>
    </w:p>
    <w:p w:rsidR="00000000" w:rsidRDefault="000E1CA1">
      <w:pPr>
        <w:pStyle w:val="Sangra3detindependiente"/>
        <w:spacing w:line="240" w:lineRule="auto"/>
        <w:ind w:left="902"/>
        <w:jc w:val="both"/>
      </w:pPr>
      <w:r>
        <w:rPr>
          <w:noProof/>
          <w:sz w:val="20"/>
          <w:lang w:val="es-ES"/>
        </w:rPr>
        <w:pict>
          <v:rect id="_x0000_s1107" style="position:absolute;left:0;text-align:left;margin-left:48pt;margin-top:9.6pt;width:366pt;height:338.4pt;z-index:251672064"/>
        </w:pict>
      </w:r>
    </w:p>
    <w:p w:rsidR="00000000" w:rsidRDefault="000E1CA1">
      <w:pPr>
        <w:pStyle w:val="Sangra3detindependiente"/>
        <w:ind w:left="902"/>
        <w:jc w:val="both"/>
      </w:pPr>
      <w:r>
        <w:rPr>
          <w:noProof/>
          <w:sz w:val="20"/>
          <w:lang w:val="es-ES"/>
        </w:rPr>
        <w:pict>
          <v:shape id="_x0000_s1121" type="#_x0000_t202" style="position:absolute;left:0;text-align:left;margin-left:54pt;margin-top:1.2pt;width:347.15pt;height:291.95pt;z-index:251686400" strokecolor="white">
            <v:textbox>
              <w:txbxContent>
                <w:p w:rsidR="00000000" w:rsidRDefault="00266E4B">
                  <w:r>
                    <w:rPr>
                      <w:noProof/>
                    </w:rPr>
                    <w:drawing>
                      <wp:inline distT="0" distB="0" distL="0" distR="0">
                        <wp:extent cx="4216400" cy="3606800"/>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rPr>
          <w:noProof/>
          <w:sz w:val="20"/>
          <w:lang w:val="es-ES"/>
        </w:rPr>
        <w:pict>
          <v:shape id="_x0000_s1119" type="#_x0000_t202" style="position:absolute;left:0;text-align:left;margin-left:60pt;margin-top:13.25pt;width:348pt;height:36pt;z-index:251684352" strokecolor="white">
            <v:textbox>
              <w:txbxContent>
                <w:p w:rsidR="00000000" w:rsidRDefault="000E1CA1">
                  <w:pPr>
                    <w:rPr>
                      <w:rFonts w:ascii="Arial" w:hAnsi="Arial" w:cs="Arial"/>
                    </w:rPr>
                  </w:pPr>
                  <w:r>
                    <w:rPr>
                      <w:rFonts w:ascii="Arial" w:hAnsi="Arial" w:cs="Arial"/>
                      <w:b/>
                      <w:bCs/>
                    </w:rPr>
                    <w:t>Gráfico XXXII.</w:t>
                  </w:r>
                  <w:r>
                    <w:rPr>
                      <w:rFonts w:ascii="Arial" w:hAnsi="Arial" w:cs="Arial"/>
                    </w:rPr>
                    <w:t xml:space="preserve">  Activos por rama de actividad</w:t>
                  </w:r>
                </w:p>
                <w:p w:rsidR="00000000" w:rsidRDefault="000E1CA1">
                  <w:r>
                    <w:rPr>
                      <w:rFonts w:ascii="Arial" w:hAnsi="Arial" w:cs="Arial"/>
                      <w:b/>
                      <w:bCs/>
                    </w:rPr>
                    <w:t>Fuente.</w:t>
                  </w:r>
                  <w:r>
                    <w:rPr>
                      <w:rFonts w:ascii="Arial" w:hAnsi="Arial" w:cs="Arial"/>
                    </w:rPr>
                    <w:t xml:space="preserve">  Superintendencia de compañ</w:t>
                  </w:r>
                  <w:r>
                    <w:rPr>
                      <w:rFonts w:ascii="Arial" w:hAnsi="Arial" w:cs="Arial"/>
                    </w:rPr>
                    <w:t>ías</w:t>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t>A continuación en la tabla XXVIII se presenta la estadística descriptiva, siendo Industrias, Comercio y Minas y canteras las más representativas y en el gráfico XX</w:t>
      </w:r>
      <w:r>
        <w:t>XIII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3.4.3</w:t>
      </w:r>
      <w:r>
        <w:rPr>
          <w:rFonts w:ascii="Arial" w:hAnsi="Arial" w:cs="Arial"/>
          <w:i w:val="0"/>
          <w:iCs w:val="0"/>
          <w:lang w:val="es-ES_tradnl"/>
        </w:rPr>
        <w:t xml:space="preserve">  </w:t>
      </w:r>
      <w:r>
        <w:rPr>
          <w:rFonts w:ascii="Arial" w:hAnsi="Arial" w:cs="Arial"/>
          <w:b/>
          <w:bCs/>
          <w:i w:val="0"/>
          <w:iCs w:val="0"/>
          <w:lang w:val="es-ES_tradnl"/>
        </w:rPr>
        <w:t xml:space="preserve">Pasivos de las compañías </w:t>
      </w:r>
    </w:p>
    <w:p w:rsidR="00000000" w:rsidRDefault="000E1CA1">
      <w:pPr>
        <w:pStyle w:val="Sangra3detindependiente"/>
        <w:ind w:left="902"/>
        <w:jc w:val="both"/>
      </w:pPr>
      <w:r>
        <w:t>Esta variable representa a la cantidad anual global de pasivos de las compañías, en el período de 1.975 – 1.999 por rama</w:t>
      </w:r>
      <w:r>
        <w:t xml:space="preserve"> de actividad.  Podemos observar en el gráfico XXXIV las actividades más representativas según los pasivos de las compañías.</w:t>
      </w:r>
    </w:p>
    <w:p w:rsidR="00000000" w:rsidRDefault="000E1CA1">
      <w:pPr>
        <w:pStyle w:val="Sangra3detindependiente"/>
        <w:spacing w:line="240" w:lineRule="auto"/>
        <w:ind w:left="902"/>
        <w:jc w:val="both"/>
      </w:pPr>
      <w:r>
        <w:rPr>
          <w:noProof/>
          <w:sz w:val="20"/>
          <w:lang w:val="es-ES"/>
        </w:rPr>
        <w:pict>
          <v:rect id="_x0000_s1122" style="position:absolute;left:0;text-align:left;margin-left:48pt;margin-top:9.6pt;width:366pt;height:329.4pt;z-index:251687424"/>
        </w:pict>
      </w:r>
    </w:p>
    <w:p w:rsidR="00000000" w:rsidRDefault="000E1CA1">
      <w:pPr>
        <w:pStyle w:val="Sangra3detindependiente"/>
        <w:ind w:left="902"/>
        <w:jc w:val="both"/>
      </w:pPr>
      <w:r>
        <w:rPr>
          <w:noProof/>
          <w:sz w:val="20"/>
          <w:lang w:val="es-ES"/>
        </w:rPr>
        <w:pict>
          <v:shape id="_x0000_s1134" type="#_x0000_t202" style="position:absolute;left:0;text-align:left;margin-left:54pt;margin-top:1.2pt;width:347.15pt;height:282.95pt;z-index:251699712" strokecolor="white">
            <v:textbox>
              <w:txbxContent>
                <w:p w:rsidR="00000000" w:rsidRDefault="00266E4B">
                  <w:r>
                    <w:rPr>
                      <w:noProof/>
                    </w:rPr>
                    <w:drawing>
                      <wp:inline distT="0" distB="0" distL="0" distR="0">
                        <wp:extent cx="4216400" cy="3492500"/>
                        <wp:effectExtent l="0" t="0" r="0" b="0"/>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rPr>
          <w:noProof/>
          <w:sz w:val="20"/>
          <w:lang w:val="es-ES"/>
        </w:rPr>
        <w:pict>
          <v:shape id="_x0000_s1125" type="#_x0000_t202" style="position:absolute;left:0;text-align:left;margin-left:60pt;margin-top:4.25pt;width:336pt;height:36pt;z-index:251690496" strokecolor="white">
            <v:textbox>
              <w:txbxContent>
                <w:p w:rsidR="00000000" w:rsidRDefault="000E1CA1">
                  <w:pPr>
                    <w:rPr>
                      <w:rFonts w:ascii="Arial" w:hAnsi="Arial" w:cs="Arial"/>
                    </w:rPr>
                  </w:pPr>
                  <w:r>
                    <w:rPr>
                      <w:rFonts w:ascii="Arial" w:hAnsi="Arial" w:cs="Arial"/>
                      <w:b/>
                      <w:bCs/>
                    </w:rPr>
                    <w:t>Gráfico XXXIV.</w:t>
                  </w:r>
                  <w:r>
                    <w:rPr>
                      <w:rFonts w:ascii="Arial" w:hAnsi="Arial" w:cs="Arial"/>
                    </w:rPr>
                    <w:t xml:space="preserve">  Pasivos por rama de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t>A continuación en la tabla XXIX se presenta la estadística descriptiva, siendo Comercio, Industrias y Minas y cant</w:t>
      </w:r>
      <w:r>
        <w:t>eras las más representativas y en el gráfico XXXV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 xml:space="preserve">3.4.4  Patrimonios de las compañías </w:t>
      </w:r>
    </w:p>
    <w:p w:rsidR="00000000" w:rsidRDefault="000E1CA1">
      <w:pPr>
        <w:pStyle w:val="Sangra3detindependiente"/>
        <w:ind w:left="902"/>
        <w:jc w:val="both"/>
      </w:pPr>
      <w:r>
        <w:t xml:space="preserve">Esta variable representa a la cantidad anual global de los patrimonios </w:t>
      </w:r>
      <w:r>
        <w:t>de las compañías, en el período de 1.975 – 1.999 por rama de actividad.  Podemos observar en el gráfico XXXVI las actividades más representativas según la cantidad de patrimonios de  las compañías.</w:t>
      </w:r>
    </w:p>
    <w:p w:rsidR="00000000" w:rsidRDefault="000E1CA1">
      <w:pPr>
        <w:pStyle w:val="Sangra3detindependiente"/>
        <w:spacing w:line="240" w:lineRule="auto"/>
        <w:ind w:left="902"/>
        <w:jc w:val="both"/>
      </w:pPr>
      <w:r>
        <w:rPr>
          <w:noProof/>
          <w:sz w:val="20"/>
          <w:lang w:val="es-ES"/>
        </w:rPr>
        <w:pict>
          <v:rect id="_x0000_s1123" style="position:absolute;left:0;text-align:left;margin-left:48pt;margin-top:9.6pt;width:366pt;height:301.8pt;z-index:251688448"/>
        </w:pict>
      </w:r>
    </w:p>
    <w:p w:rsidR="00000000" w:rsidRDefault="000E1CA1">
      <w:pPr>
        <w:pStyle w:val="Sangra3detindependiente"/>
        <w:ind w:left="902"/>
        <w:jc w:val="both"/>
      </w:pPr>
      <w:r>
        <w:rPr>
          <w:noProof/>
          <w:sz w:val="20"/>
          <w:lang w:val="es-ES"/>
        </w:rPr>
        <w:pict>
          <v:shape id="_x0000_s1135" type="#_x0000_t202" style="position:absolute;left:0;text-align:left;margin-left:54pt;margin-top:.6pt;width:353.15pt;height:255.95pt;z-index:251700736" strokecolor="white">
            <v:textbox>
              <w:txbxContent>
                <w:p w:rsidR="00000000" w:rsidRDefault="00266E4B">
                  <w:r>
                    <w:rPr>
                      <w:noProof/>
                    </w:rPr>
                    <w:drawing>
                      <wp:inline distT="0" distB="0" distL="0" distR="0">
                        <wp:extent cx="4292600" cy="3149600"/>
                        <wp:effectExtent l="0" t="0" r="0" b="0"/>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rPr>
          <w:noProof/>
          <w:sz w:val="20"/>
          <w:lang w:val="es-ES"/>
        </w:rPr>
        <w:pict>
          <v:shape id="_x0000_s1126" type="#_x0000_t202" style="position:absolute;left:0;text-align:left;margin-left:66pt;margin-top:4.25pt;width:318pt;height:36pt;z-index:251691520" strokecolor="white">
            <v:textbox>
              <w:txbxContent>
                <w:p w:rsidR="00000000" w:rsidRDefault="000E1CA1">
                  <w:pPr>
                    <w:rPr>
                      <w:rFonts w:ascii="Arial" w:hAnsi="Arial" w:cs="Arial"/>
                    </w:rPr>
                  </w:pPr>
                  <w:r>
                    <w:rPr>
                      <w:rFonts w:ascii="Arial" w:hAnsi="Arial" w:cs="Arial"/>
                      <w:b/>
                      <w:bCs/>
                    </w:rPr>
                    <w:t>Gráfico XXXVI.</w:t>
                  </w:r>
                  <w:r>
                    <w:rPr>
                      <w:rFonts w:ascii="Arial" w:hAnsi="Arial" w:cs="Arial"/>
                    </w:rPr>
                    <w:t xml:space="preserve">  Patrimonios por rama de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t>A continuación en la tabla XXX se presenta</w:t>
      </w:r>
      <w:r>
        <w:t xml:space="preserve"> la estadística descriptiva, siendo Industrias, Electricidad y Transporte las más representativas y en el gráfico XXXVII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i w:val="0"/>
          <w:iCs w:val="0"/>
          <w:lang w:val="es-ES_tradnl"/>
        </w:rPr>
      </w:pPr>
      <w:r>
        <w:rPr>
          <w:rFonts w:ascii="Arial" w:hAnsi="Arial" w:cs="Arial"/>
          <w:b/>
          <w:bCs/>
          <w:i w:val="0"/>
          <w:iCs w:val="0"/>
          <w:lang w:val="es-ES_tradnl"/>
        </w:rPr>
        <w:t xml:space="preserve">3.4.5 </w:t>
      </w:r>
      <w:r>
        <w:rPr>
          <w:rFonts w:ascii="Arial" w:hAnsi="Arial" w:cs="Arial"/>
          <w:i w:val="0"/>
          <w:iCs w:val="0"/>
          <w:lang w:val="es-ES_tradnl"/>
        </w:rPr>
        <w:t xml:space="preserve"> </w:t>
      </w:r>
      <w:r>
        <w:rPr>
          <w:rFonts w:ascii="Arial" w:hAnsi="Arial" w:cs="Arial"/>
          <w:b/>
          <w:bCs/>
          <w:i w:val="0"/>
          <w:iCs w:val="0"/>
          <w:lang w:val="es-ES_tradnl"/>
        </w:rPr>
        <w:t xml:space="preserve">Ventas de compañías </w:t>
      </w:r>
    </w:p>
    <w:p w:rsidR="00000000" w:rsidRDefault="000E1CA1">
      <w:pPr>
        <w:pStyle w:val="Sangra3detindependiente"/>
        <w:ind w:left="902"/>
        <w:jc w:val="both"/>
      </w:pPr>
      <w:r>
        <w:t>Esta vari</w:t>
      </w:r>
      <w:r>
        <w:t>able representa a la cantidad anual global de las ventas de las compañías, en el período de 1.975 – 1.999 por rama de actividad.  Podemos observar en el gráfico XXXVIII las actividades más representativas según la cantidad de ventas de las compañías.</w:t>
      </w:r>
    </w:p>
    <w:p w:rsidR="00000000" w:rsidRDefault="000E1CA1">
      <w:pPr>
        <w:pStyle w:val="Sangra3detindependiente"/>
        <w:spacing w:line="240" w:lineRule="auto"/>
        <w:ind w:left="902"/>
        <w:jc w:val="both"/>
      </w:pPr>
      <w:r>
        <w:rPr>
          <w:noProof/>
          <w:sz w:val="20"/>
          <w:lang w:val="es-ES"/>
        </w:rPr>
        <w:pict>
          <v:rect id="_x0000_s1124" style="position:absolute;left:0;text-align:left;margin-left:48pt;margin-top:9.6pt;width:366pt;height:329.4pt;z-index:251689472"/>
        </w:pict>
      </w:r>
    </w:p>
    <w:p w:rsidR="00000000" w:rsidRDefault="000E1CA1">
      <w:pPr>
        <w:pStyle w:val="Sangra3detindependiente"/>
        <w:ind w:left="902"/>
        <w:jc w:val="both"/>
      </w:pPr>
      <w:r>
        <w:rPr>
          <w:noProof/>
          <w:sz w:val="20"/>
          <w:lang w:val="es-ES"/>
        </w:rPr>
        <w:pict>
          <v:shape id="_x0000_s1136" type="#_x0000_t202" style="position:absolute;left:0;text-align:left;margin-left:54pt;margin-top:1.2pt;width:347.15pt;height:282.95pt;z-index:251701760" strokecolor="white">
            <v:textbox>
              <w:txbxContent>
                <w:p w:rsidR="00000000" w:rsidRDefault="00266E4B">
                  <w:r>
                    <w:rPr>
                      <w:noProof/>
                    </w:rPr>
                    <w:drawing>
                      <wp:inline distT="0" distB="0" distL="0" distR="0">
                        <wp:extent cx="4216400" cy="3492500"/>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rPr>
          <w:noProof/>
          <w:sz w:val="20"/>
          <w:lang w:val="es-ES"/>
        </w:rPr>
        <w:pict>
          <v:shape id="_x0000_s1127" type="#_x0000_t202" style="position:absolute;left:0;text-align:left;margin-left:66pt;margin-top:4.25pt;width:324pt;height:36pt;z-index:251692544" strokecolor="white">
            <v:textbox>
              <w:txbxContent>
                <w:p w:rsidR="00000000" w:rsidRDefault="000E1CA1">
                  <w:pPr>
                    <w:rPr>
                      <w:rFonts w:ascii="Arial" w:hAnsi="Arial" w:cs="Arial"/>
                    </w:rPr>
                  </w:pPr>
                  <w:r>
                    <w:rPr>
                      <w:rFonts w:ascii="Arial" w:hAnsi="Arial" w:cs="Arial"/>
                      <w:b/>
                      <w:bCs/>
                    </w:rPr>
                    <w:t>Gráfico XXXVIII.</w:t>
                  </w:r>
                  <w:r>
                    <w:rPr>
                      <w:rFonts w:ascii="Arial" w:hAnsi="Arial" w:cs="Arial"/>
                    </w:rPr>
                    <w:t xml:space="preserve">  Ventas por rama de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t>A continuación en la tabla XXXI se presenta la estadística descriptiva, siendo Comercio, Industrias y Transporte las más representativas y en el gráfico XXXIX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3.4.6  </w:t>
      </w:r>
      <w:r>
        <w:rPr>
          <w:rFonts w:ascii="Arial" w:hAnsi="Arial" w:cs="Arial"/>
          <w:b/>
          <w:bCs/>
          <w:i w:val="0"/>
          <w:iCs w:val="0"/>
        </w:rPr>
        <w:t xml:space="preserve"> Razón de endeudamiento</w:t>
      </w:r>
    </w:p>
    <w:p w:rsidR="00000000" w:rsidRDefault="000E1CA1">
      <w:pPr>
        <w:pStyle w:val="Sangra3detindependiente"/>
        <w:ind w:left="902"/>
        <w:jc w:val="both"/>
      </w:pPr>
      <w:r>
        <w:t>Esta variable representa a los pasivos totales sobre los activos totales anuales según la rama de actividad, en el período de 1.975 – 1.999. Podemos observar en el gráfico XL las actividades más representativas.</w:t>
      </w:r>
    </w:p>
    <w:p w:rsidR="00000000" w:rsidRDefault="000E1CA1">
      <w:pPr>
        <w:spacing w:line="480" w:lineRule="auto"/>
        <w:ind w:left="902"/>
        <w:jc w:val="both"/>
        <w:rPr>
          <w:rFonts w:ascii="Arial" w:hAnsi="Arial" w:cs="Arial"/>
          <w:bCs/>
        </w:rPr>
      </w:pPr>
      <w:r>
        <w:rPr>
          <w:rFonts w:ascii="Arial" w:hAnsi="Arial" w:cs="Arial"/>
          <w:bCs/>
          <w:noProof/>
          <w:sz w:val="20"/>
        </w:rPr>
        <w:pict>
          <v:shape id="_x0000_s1137" type="#_x0000_t202" style="position:absolute;left:0;text-align:left;margin-left:54pt;margin-top:24pt;width:348.15pt;height:273.95pt;z-index:251702784" strokecolor="white">
            <v:textbox>
              <w:txbxContent>
                <w:p w:rsidR="00000000" w:rsidRDefault="00266E4B">
                  <w:r>
                    <w:rPr>
                      <w:noProof/>
                    </w:rPr>
                    <w:drawing>
                      <wp:inline distT="0" distB="0" distL="0" distR="0">
                        <wp:extent cx="4229100" cy="3378200"/>
                        <wp:effectExtent l="0" t="0" r="0" b="0"/>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xbxContent>
            </v:textbox>
          </v:shape>
        </w:pict>
      </w:r>
      <w:r>
        <w:rPr>
          <w:rFonts w:ascii="Arial" w:hAnsi="Arial" w:cs="Arial"/>
          <w:bCs/>
          <w:noProof/>
          <w:sz w:val="20"/>
        </w:rPr>
        <w:pict>
          <v:rect id="_x0000_s1128" style="position:absolute;left:0;text-align:left;margin-left:48pt;margin-top:14.2pt;width:366pt;height:324.8pt;z-index:251693568"/>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noProof/>
          <w:sz w:val="20"/>
        </w:rPr>
        <w:pict>
          <v:shape id="_x0000_s1131" type="#_x0000_t202" style="position:absolute;left:0;text-align:left;margin-left:54pt;margin-top:18.05pt;width:330pt;height:36pt;z-index:251696640" strokecolor="white">
            <v:textbox>
              <w:txbxContent>
                <w:p w:rsidR="00000000" w:rsidRDefault="000E1CA1">
                  <w:pPr>
                    <w:rPr>
                      <w:rFonts w:ascii="Arial" w:hAnsi="Arial" w:cs="Arial"/>
                    </w:rPr>
                  </w:pPr>
                  <w:r>
                    <w:rPr>
                      <w:rFonts w:ascii="Arial" w:hAnsi="Arial" w:cs="Arial"/>
                      <w:b/>
                      <w:bCs/>
                    </w:rPr>
                    <w:t>Gráfico XL.</w:t>
                  </w:r>
                  <w:r>
                    <w:rPr>
                      <w:rFonts w:ascii="Arial" w:hAnsi="Arial" w:cs="Arial"/>
                    </w:rPr>
                    <w:t xml:space="preserve">  Endeudamiento según la rama de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p>
    <w:p w:rsidR="00000000" w:rsidRDefault="000E1CA1">
      <w:pPr>
        <w:pStyle w:val="Sangra3detindependiente"/>
        <w:ind w:left="902"/>
        <w:jc w:val="both"/>
      </w:pPr>
      <w:r>
        <w:t>A continuación en la tabla XXXII se presenta la estadística descriptiva, siendo Minas y canteras, Construcción y Transportes las más representativas y en el gráfico XLI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3.4.7  Razón de participación en deudas</w:t>
      </w:r>
    </w:p>
    <w:p w:rsidR="00000000" w:rsidRDefault="000E1CA1">
      <w:pPr>
        <w:pStyle w:val="Sangra3detindependiente"/>
        <w:ind w:left="902"/>
        <w:jc w:val="both"/>
      </w:pPr>
      <w:r>
        <w:t>Esta variable representa a los patrimonios totales sobre los pasivos totales anuales por rama de actividad, en el período de 1.975 – 1.999.  Podemos observar en el gráfico XLII las activida</w:t>
      </w:r>
      <w:r>
        <w:t>des más representativas.</w:t>
      </w:r>
    </w:p>
    <w:p w:rsidR="00000000" w:rsidRDefault="000E1CA1">
      <w:pPr>
        <w:rPr>
          <w:lang w:val="es-ES_tradnl"/>
        </w:rPr>
      </w:pPr>
      <w:r>
        <w:rPr>
          <w:noProof/>
          <w:sz w:val="20"/>
        </w:rPr>
        <w:pict>
          <v:shape id="_x0000_s1138" type="#_x0000_t202" style="position:absolute;margin-left:60pt;margin-top:6pt;width:335.15pt;height:282.95pt;z-index:251703808" strokecolor="white">
            <v:textbox>
              <w:txbxContent>
                <w:p w:rsidR="00000000" w:rsidRDefault="00266E4B">
                  <w:r>
                    <w:rPr>
                      <w:noProof/>
                    </w:rPr>
                    <w:drawing>
                      <wp:inline distT="0" distB="0" distL="0" distR="0">
                        <wp:extent cx="4064000" cy="3492500"/>
                        <wp:effectExtent l="0" t="0" r="0" b="0"/>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xbxContent>
            </v:textbox>
          </v:shape>
        </w:pict>
      </w:r>
      <w:r>
        <w:rPr>
          <w:noProof/>
          <w:sz w:val="20"/>
        </w:rPr>
        <w:pict>
          <v:rect id="_x0000_s1129" style="position:absolute;margin-left:48pt;margin-top:.4pt;width:5in;height:338.6pt;z-index:251694592"/>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32" type="#_x0000_t202" style="position:absolute;margin-left:54pt;margin-top:4.25pt;width:336pt;height:36pt;z-index:251697664" strokecolor="white">
            <v:textbox>
              <w:txbxContent>
                <w:p w:rsidR="00000000" w:rsidRDefault="000E1CA1">
                  <w:pPr>
                    <w:rPr>
                      <w:rFonts w:ascii="Arial" w:hAnsi="Arial" w:cs="Arial"/>
                    </w:rPr>
                  </w:pPr>
                  <w:r>
                    <w:rPr>
                      <w:rFonts w:ascii="Arial" w:hAnsi="Arial" w:cs="Arial"/>
                      <w:b/>
                      <w:bCs/>
                    </w:rPr>
                    <w:t>Gráfico XLII.</w:t>
                  </w:r>
                  <w:r>
                    <w:rPr>
                      <w:rFonts w:ascii="Arial" w:hAnsi="Arial" w:cs="Arial"/>
                    </w:rPr>
                    <w:t xml:space="preserve">  Participación en deudas por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Sangra3detindependiente"/>
        <w:ind w:left="902"/>
        <w:jc w:val="both"/>
      </w:pPr>
      <w:r>
        <w:t>A continuación en la tabla XXXIII se presenta la estadística descriptiva, siendo Electricidad, Servicios personales e Industrias las más representativas y en el gráfico XLIII apreciamos la tasa de varia</w:t>
      </w:r>
      <w:r>
        <w:t>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3.4.8  </w:t>
      </w:r>
      <w:r>
        <w:rPr>
          <w:rFonts w:ascii="Arial" w:hAnsi="Arial" w:cs="Arial"/>
          <w:b/>
          <w:bCs/>
          <w:i w:val="0"/>
          <w:iCs w:val="0"/>
        </w:rPr>
        <w:t xml:space="preserve"> Razón de participación accionaria</w:t>
      </w:r>
    </w:p>
    <w:p w:rsidR="00000000" w:rsidRDefault="000E1CA1">
      <w:pPr>
        <w:pStyle w:val="Sangra3detindependiente"/>
        <w:ind w:left="902"/>
        <w:jc w:val="both"/>
      </w:pPr>
      <w:r>
        <w:t>Esta variable representa a los patrimonios totales sobre los activos totales anuales globales de las compañías, en el per</w:t>
      </w:r>
      <w:r>
        <w:t>íodo de 1.975 – 1.999.  Podemos observar en el gráfico XLIV las actividades más representativas</w:t>
      </w:r>
    </w:p>
    <w:p w:rsidR="00000000" w:rsidRDefault="000E1CA1">
      <w:pPr>
        <w:rPr>
          <w:lang w:val="es-ES_tradnl"/>
        </w:rPr>
      </w:pPr>
      <w:r>
        <w:rPr>
          <w:noProof/>
          <w:sz w:val="20"/>
        </w:rPr>
        <w:pict>
          <v:rect id="_x0000_s1130" style="position:absolute;margin-left:48pt;margin-top:4.6pt;width:366pt;height:334.4pt;z-index:251695616"/>
        </w:pict>
      </w:r>
    </w:p>
    <w:p w:rsidR="00000000" w:rsidRDefault="000E1CA1">
      <w:pPr>
        <w:rPr>
          <w:lang w:val="es-ES_tradnl"/>
        </w:rPr>
      </w:pPr>
      <w:r>
        <w:rPr>
          <w:noProof/>
          <w:sz w:val="20"/>
        </w:rPr>
        <w:pict>
          <v:shape id="_x0000_s1139" type="#_x0000_t202" style="position:absolute;margin-left:54pt;margin-top:1.2pt;width:354.15pt;height:282.95pt;z-index:251704832" strokecolor="white">
            <v:textbox>
              <w:txbxContent>
                <w:p w:rsidR="00000000" w:rsidRDefault="00266E4B">
                  <w:r>
                    <w:rPr>
                      <w:noProof/>
                    </w:rPr>
                    <w:drawing>
                      <wp:inline distT="0" distB="0" distL="0" distR="0">
                        <wp:extent cx="4305300" cy="3492500"/>
                        <wp:effectExtent l="0" t="0" r="0" b="0"/>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33" type="#_x0000_t202" style="position:absolute;margin-left:60pt;margin-top:4.25pt;width:342pt;height:36pt;z-index:251698688" strokecolor="white">
            <v:textbox>
              <w:txbxContent>
                <w:p w:rsidR="00000000" w:rsidRDefault="000E1CA1">
                  <w:pPr>
                    <w:rPr>
                      <w:rFonts w:ascii="Arial" w:hAnsi="Arial" w:cs="Arial"/>
                    </w:rPr>
                  </w:pPr>
                  <w:r>
                    <w:rPr>
                      <w:rFonts w:ascii="Arial" w:hAnsi="Arial" w:cs="Arial"/>
                      <w:b/>
                      <w:bCs/>
                    </w:rPr>
                    <w:t>Gráfico XLIV.</w:t>
                  </w:r>
                  <w:r>
                    <w:rPr>
                      <w:rFonts w:ascii="Arial" w:hAnsi="Arial" w:cs="Arial"/>
                    </w:rPr>
                    <w:t xml:space="preserve">  Participación accionaria por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Sangra3detindependiente"/>
        <w:ind w:left="902"/>
        <w:jc w:val="both"/>
      </w:pPr>
      <w:r>
        <w:t>A continuación en la tabla XXXIV se presenta la estadística descriptiva, siendo Electricidad, Servicios personales e Industrias la</w:t>
      </w:r>
      <w:r>
        <w:t>s más representativas y en el gráfico XLV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3.4.9  </w:t>
      </w:r>
      <w:r>
        <w:rPr>
          <w:rFonts w:ascii="Arial" w:hAnsi="Arial" w:cs="Arial"/>
          <w:b/>
          <w:bCs/>
          <w:i w:val="0"/>
          <w:iCs w:val="0"/>
        </w:rPr>
        <w:t xml:space="preserve"> Razón de rendimiento de las compañías sobre los activos</w:t>
      </w:r>
    </w:p>
    <w:p w:rsidR="00000000" w:rsidRDefault="000E1CA1">
      <w:pPr>
        <w:pStyle w:val="Sangra3detindependiente"/>
        <w:ind w:left="902"/>
        <w:jc w:val="both"/>
      </w:pPr>
      <w:r>
        <w:t xml:space="preserve">Esta variable representa a las ventas totales sobre </w:t>
      </w:r>
      <w:r>
        <w:t>los activos totales, en el período de 1.975 – 1.999.  Podemos observar en el gráfico XLVI las actividades más representativas</w:t>
      </w:r>
    </w:p>
    <w:p w:rsidR="00000000" w:rsidRDefault="000E1CA1">
      <w:pPr>
        <w:pStyle w:val="Subttulo"/>
        <w:spacing w:line="480" w:lineRule="auto"/>
        <w:ind w:left="902"/>
        <w:rPr>
          <w:rFonts w:cs="Arial"/>
          <w:b w:val="0"/>
          <w:color w:val="auto"/>
          <w:sz w:val="24"/>
        </w:rPr>
      </w:pPr>
      <w:r>
        <w:rPr>
          <w:rFonts w:cs="Arial"/>
          <w:b w:val="0"/>
          <w:noProof/>
          <w:color w:val="auto"/>
          <w:lang w:val="es-ES"/>
        </w:rPr>
        <w:pict>
          <v:shape id="_x0000_s1146" type="#_x0000_t202" style="position:absolute;left:0;text-align:left;margin-left:54pt;margin-top:6.6pt;width:353.15pt;height:314.95pt;z-index:251712000" strokecolor="white">
            <v:textbox>
              <w:txbxContent>
                <w:p w:rsidR="00000000" w:rsidRDefault="00266E4B">
                  <w:r>
                    <w:rPr>
                      <w:noProof/>
                    </w:rPr>
                    <w:drawing>
                      <wp:inline distT="0" distB="0" distL="0" distR="0">
                        <wp:extent cx="4292600" cy="3898900"/>
                        <wp:effectExtent l="0" t="0" r="0" b="0"/>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xbxContent>
            </v:textbox>
          </v:shape>
        </w:pict>
      </w:r>
      <w:r>
        <w:rPr>
          <w:rFonts w:cs="Arial"/>
          <w:b w:val="0"/>
          <w:noProof/>
          <w:color w:val="auto"/>
          <w:lang w:val="es-ES"/>
        </w:rPr>
        <w:pict>
          <v:rect id="_x0000_s1140" style="position:absolute;left:0;text-align:left;margin-left:48pt;margin-top:4pt;width:366pt;height:371.6pt;z-index:251705856"/>
        </w:pict>
      </w:r>
    </w:p>
    <w:p w:rsidR="00000000" w:rsidRDefault="000E1CA1">
      <w:pPr>
        <w:pStyle w:val="Subttulo"/>
        <w:ind w:left="902"/>
        <w:rPr>
          <w:rFonts w:cs="Arial"/>
          <w:b w:val="0"/>
          <w:color w:val="auto"/>
          <w:sz w:val="24"/>
        </w:rPr>
      </w:pPr>
    </w:p>
    <w:p w:rsidR="00000000" w:rsidRDefault="000E1CA1">
      <w:pPr>
        <w:rPr>
          <w:lang w:val="es-ES_tradnl"/>
        </w:rPr>
      </w:pPr>
    </w:p>
    <w:p w:rsidR="00000000" w:rsidRDefault="000E1CA1"/>
    <w:p w:rsidR="00000000" w:rsidRDefault="000E1CA1"/>
    <w:p w:rsidR="00000000" w:rsidRDefault="000E1CA1"/>
    <w:p w:rsidR="00000000" w:rsidRDefault="000E1CA1"/>
    <w:p w:rsidR="00000000" w:rsidRDefault="000E1CA1"/>
    <w:p w:rsidR="00000000" w:rsidRDefault="000E1CA1"/>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 w:rsidR="00000000" w:rsidRDefault="000E1CA1"/>
    <w:p w:rsidR="00000000" w:rsidRDefault="000E1CA1"/>
    <w:p w:rsidR="00000000" w:rsidRDefault="000E1CA1"/>
    <w:p w:rsidR="00000000" w:rsidRDefault="000E1CA1"/>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42" type="#_x0000_t202" style="position:absolute;margin-left:54pt;margin-top:13.25pt;width:348pt;height:36pt;z-index:251707904" strokecolor="white">
            <v:textbox>
              <w:txbxContent>
                <w:p w:rsidR="00000000" w:rsidRDefault="000E1CA1">
                  <w:pPr>
                    <w:rPr>
                      <w:rFonts w:ascii="Arial" w:hAnsi="Arial" w:cs="Arial"/>
                    </w:rPr>
                  </w:pPr>
                  <w:r>
                    <w:rPr>
                      <w:rFonts w:ascii="Arial" w:hAnsi="Arial" w:cs="Arial"/>
                      <w:b/>
                      <w:bCs/>
                    </w:rPr>
                    <w:t>Gráfico</w:t>
                  </w:r>
                  <w:r>
                    <w:rPr>
                      <w:rFonts w:ascii="Arial" w:hAnsi="Arial" w:cs="Arial"/>
                      <w:b/>
                      <w:bCs/>
                    </w:rPr>
                    <w:t xml:space="preserve"> XLVI </w:t>
                  </w:r>
                  <w:r>
                    <w:rPr>
                      <w:rFonts w:ascii="Arial" w:hAnsi="Arial" w:cs="Arial"/>
                    </w:rPr>
                    <w:t>Rendimiento sobre los activos por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r>
        <w:t>A continuación en la tabla XXXV se presenta la estadística descriptiva, siendo Comercio, Industrias y</w:t>
      </w:r>
      <w:r>
        <w:t xml:space="preserve"> Transportes las más representativas y en el gráfico XLVII apreciamos la tasa de variación de éstas actividades.</w:t>
      </w: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3.4.10 </w:t>
      </w:r>
      <w:r>
        <w:rPr>
          <w:rFonts w:ascii="Arial" w:hAnsi="Arial" w:cs="Arial"/>
          <w:b/>
          <w:bCs/>
          <w:i w:val="0"/>
          <w:iCs w:val="0"/>
        </w:rPr>
        <w:t>Razón de rendimiento de las compañías sobre los patrimonios</w:t>
      </w:r>
    </w:p>
    <w:p w:rsidR="00000000" w:rsidRDefault="000E1CA1">
      <w:pPr>
        <w:pStyle w:val="Sangra3detindependiente"/>
        <w:ind w:left="902"/>
        <w:jc w:val="both"/>
      </w:pPr>
      <w:r>
        <w:t>Esta variable representa a los ve</w:t>
      </w:r>
      <w:r>
        <w:t>ntas totales sobre los patrimonios totales anuales, en el período de 1.975 – 1.999.  Podemos observar en el gráfico XLVIII las actividades más representativas</w:t>
      </w:r>
    </w:p>
    <w:p w:rsidR="00000000" w:rsidRDefault="000E1CA1">
      <w:pPr>
        <w:pStyle w:val="Subttulo"/>
        <w:ind w:left="902"/>
        <w:rPr>
          <w:rFonts w:cs="Arial"/>
          <w:b w:val="0"/>
          <w:color w:val="auto"/>
          <w:sz w:val="24"/>
        </w:rPr>
      </w:pPr>
    </w:p>
    <w:p w:rsidR="00000000" w:rsidRDefault="000E1CA1">
      <w:pPr>
        <w:rPr>
          <w:lang w:val="es-ES_tradnl"/>
        </w:rPr>
      </w:pPr>
      <w:r>
        <w:rPr>
          <w:noProof/>
          <w:sz w:val="20"/>
        </w:rPr>
        <w:pict>
          <v:shape id="_x0000_s1147" type="#_x0000_t202" style="position:absolute;margin-left:48pt;margin-top:10.2pt;width:354.15pt;height:282.95pt;z-index:251713024" strokecolor="white">
            <v:textbox>
              <w:txbxContent>
                <w:p w:rsidR="00000000" w:rsidRDefault="00266E4B">
                  <w:r>
                    <w:rPr>
                      <w:noProof/>
                    </w:rPr>
                    <w:drawing>
                      <wp:inline distT="0" distB="0" distL="0" distR="0">
                        <wp:extent cx="4305300" cy="3492500"/>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xbxContent>
            </v:textbox>
          </v:shape>
        </w:pict>
      </w:r>
      <w:r>
        <w:rPr>
          <w:noProof/>
          <w:sz w:val="20"/>
        </w:rPr>
        <w:pict>
          <v:rect id="_x0000_s1141" style="position:absolute;margin-left:42pt;margin-top:.4pt;width:372pt;height:333.8pt;z-index:251706880"/>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43" type="#_x0000_t202" style="position:absolute;margin-left:48pt;margin-top:13.25pt;width:5in;height:36pt;z-index:251708928" strokecolor="white">
            <v:textbox>
              <w:txbxContent>
                <w:p w:rsidR="00000000" w:rsidRDefault="000E1CA1">
                  <w:pPr>
                    <w:rPr>
                      <w:rFonts w:ascii="Arial" w:hAnsi="Arial" w:cs="Arial"/>
                    </w:rPr>
                  </w:pPr>
                  <w:r>
                    <w:rPr>
                      <w:rFonts w:ascii="Arial" w:hAnsi="Arial" w:cs="Arial"/>
                      <w:b/>
                      <w:bCs/>
                    </w:rPr>
                    <w:t>Gráfico XLVIII.</w:t>
                  </w:r>
                  <w:r>
                    <w:rPr>
                      <w:rFonts w:ascii="Arial" w:hAnsi="Arial" w:cs="Arial"/>
                    </w:rPr>
                    <w:t xml:space="preserve"> Rendimiento sobre los patrimonios por actividad</w:t>
                  </w:r>
                </w:p>
                <w:p w:rsidR="00000000" w:rsidRDefault="000E1CA1">
                  <w:r>
                    <w:rPr>
                      <w:rFonts w:ascii="Arial" w:hAnsi="Arial" w:cs="Arial"/>
                      <w:b/>
                      <w:bCs/>
                    </w:rPr>
                    <w:t>Fuente.</w:t>
                  </w:r>
                  <w:r>
                    <w:rPr>
                      <w:rFonts w:ascii="Arial" w:hAnsi="Arial" w:cs="Arial"/>
                    </w:rPr>
                    <w:t xml:space="preserve">  Superintendencia de compañías</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Sangra3detindependiente"/>
        <w:ind w:left="902"/>
        <w:jc w:val="both"/>
      </w:pPr>
      <w:r>
        <w:t>A continuación en la tabla XXXVI se presenta la estadística descrip</w:t>
      </w:r>
      <w:r>
        <w:t>tiva, siendo Comercio, Transportes y Construcción las más representativas y en el gráfico XLIX apreciamos la tasa de variación de éstas actividades.</w:t>
      </w: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Ttulo1"/>
        <w:spacing w:line="480" w:lineRule="auto"/>
        <w:ind w:left="902"/>
        <w:rPr>
          <w:rFonts w:ascii="Arial" w:hAnsi="Arial" w:cs="Arial"/>
          <w:b/>
          <w:bCs/>
          <w:i w:val="0"/>
          <w:iCs w:val="0"/>
          <w:lang w:val="es-ES_tradnl"/>
        </w:rPr>
      </w:pPr>
      <w:r>
        <w:rPr>
          <w:rFonts w:ascii="Arial" w:hAnsi="Arial" w:cs="Arial"/>
          <w:b/>
          <w:bCs/>
          <w:i w:val="0"/>
          <w:iCs w:val="0"/>
          <w:lang w:val="es-ES_tradnl"/>
        </w:rPr>
        <w:t xml:space="preserve">3.4.11  </w:t>
      </w:r>
      <w:r>
        <w:rPr>
          <w:rFonts w:ascii="Arial" w:hAnsi="Arial" w:cs="Arial"/>
          <w:b/>
          <w:bCs/>
          <w:i w:val="0"/>
          <w:iCs w:val="0"/>
        </w:rPr>
        <w:t xml:space="preserve"> Producto interno bruto (PIB)</w:t>
      </w:r>
    </w:p>
    <w:p w:rsidR="00000000" w:rsidRDefault="000E1CA1">
      <w:pPr>
        <w:pStyle w:val="Sangra3detindependiente"/>
        <w:ind w:left="902"/>
        <w:jc w:val="both"/>
      </w:pPr>
      <w:r>
        <w:t xml:space="preserve">Esta variable representa </w:t>
      </w:r>
      <w:r>
        <w:t>el total en millones de dólares que generó el país en divisas durante 1.975 – 1.999, según la rama de actividad.  Podemos observar en el gráfico L las actividades más representativas</w:t>
      </w:r>
    </w:p>
    <w:p w:rsidR="00000000" w:rsidRDefault="000E1CA1">
      <w:pPr>
        <w:pStyle w:val="Subttulo"/>
        <w:ind w:left="902"/>
        <w:rPr>
          <w:rFonts w:cs="Arial"/>
          <w:b w:val="0"/>
          <w:color w:val="auto"/>
          <w:sz w:val="24"/>
        </w:rPr>
      </w:pPr>
    </w:p>
    <w:p w:rsidR="00000000" w:rsidRDefault="000E1CA1">
      <w:pPr>
        <w:rPr>
          <w:lang w:val="es-ES_tradnl"/>
        </w:rPr>
      </w:pPr>
      <w:r>
        <w:rPr>
          <w:noProof/>
          <w:sz w:val="20"/>
        </w:rPr>
        <w:pict>
          <v:shape id="_x0000_s1148" type="#_x0000_t202" style="position:absolute;margin-left:48pt;margin-top:10.2pt;width:354.15pt;height:273.95pt;z-index:251714048" strokecolor="white">
            <v:textbox>
              <w:txbxContent>
                <w:p w:rsidR="00000000" w:rsidRDefault="00266E4B">
                  <w:r>
                    <w:rPr>
                      <w:noProof/>
                    </w:rPr>
                    <w:drawing>
                      <wp:inline distT="0" distB="0" distL="0" distR="0">
                        <wp:extent cx="4305300" cy="337820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xbxContent>
            </v:textbox>
          </v:shape>
        </w:pict>
      </w:r>
      <w:r>
        <w:rPr>
          <w:noProof/>
          <w:sz w:val="20"/>
        </w:rPr>
        <w:pict>
          <v:rect id="_x0000_s1144" style="position:absolute;margin-left:42pt;margin-top:.4pt;width:372pt;height:333.8pt;z-index:251709952"/>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r>
        <w:rPr>
          <w:noProof/>
          <w:sz w:val="20"/>
        </w:rPr>
        <w:pict>
          <v:shape id="_x0000_s1145" type="#_x0000_t202" style="position:absolute;margin-left:48pt;margin-top:13.25pt;width:5in;height:36pt;z-index:251710976" strokecolor="white">
            <v:textbox>
              <w:txbxContent>
                <w:p w:rsidR="00000000" w:rsidRDefault="000E1CA1">
                  <w:pPr>
                    <w:rPr>
                      <w:rFonts w:ascii="Arial" w:hAnsi="Arial" w:cs="Arial"/>
                    </w:rPr>
                  </w:pPr>
                  <w:r>
                    <w:rPr>
                      <w:rFonts w:ascii="Arial" w:hAnsi="Arial" w:cs="Arial"/>
                      <w:b/>
                      <w:bCs/>
                    </w:rPr>
                    <w:t>G</w:t>
                  </w:r>
                  <w:r>
                    <w:rPr>
                      <w:rFonts w:ascii="Arial" w:hAnsi="Arial" w:cs="Arial"/>
                      <w:b/>
                      <w:bCs/>
                    </w:rPr>
                    <w:t>ráfico L.</w:t>
                  </w:r>
                  <w:r>
                    <w:rPr>
                      <w:rFonts w:ascii="Arial" w:hAnsi="Arial" w:cs="Arial"/>
                    </w:rPr>
                    <w:t xml:space="preserve"> PIB por la rama de  actividad</w:t>
                  </w:r>
                </w:p>
                <w:p w:rsidR="00000000" w:rsidRDefault="000E1CA1">
                  <w:r>
                    <w:rPr>
                      <w:rFonts w:ascii="Arial" w:hAnsi="Arial" w:cs="Arial"/>
                      <w:b/>
                      <w:bCs/>
                    </w:rPr>
                    <w:t>Fuente.</w:t>
                  </w:r>
                  <w:r>
                    <w:rPr>
                      <w:rFonts w:ascii="Arial" w:hAnsi="Arial" w:cs="Arial"/>
                    </w:rPr>
                    <w:t xml:space="preserve">  Banco Central del Ecuador</w:t>
                  </w:r>
                </w:p>
              </w:txbxContent>
            </v:textbox>
          </v:shape>
        </w:pict>
      </w: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rPr>
          <w:lang w:val="es-ES_tradnl"/>
        </w:rPr>
      </w:pPr>
    </w:p>
    <w:p w:rsidR="00000000" w:rsidRDefault="000E1CA1">
      <w:pPr>
        <w:pStyle w:val="Sangra3detindependiente"/>
        <w:ind w:left="902"/>
        <w:jc w:val="both"/>
      </w:pPr>
      <w:r>
        <w:t>A continuación en la tabla XXXVII se presen</w:t>
      </w:r>
      <w:r>
        <w:t>ta la estadística descriptiva, siendo Industrias, Comercio y Servicios personales las más representativas y en el gráfico LI apreciamos la tasa de variación de éstas actividades.</w:t>
      </w:r>
    </w:p>
    <w:p w:rsidR="00000000" w:rsidRDefault="000E1CA1">
      <w:pPr>
        <w:pStyle w:val="Sangra3detindependiente"/>
        <w:ind w:left="902"/>
        <w:jc w:val="both"/>
        <w:rPr>
          <w:rFonts w:cs="Arial"/>
        </w:rPr>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pStyle w:val="Sangra3detindependiente"/>
        <w:ind w:left="902"/>
        <w:jc w:val="both"/>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firstLine="708"/>
        <w:jc w:val="both"/>
        <w:rPr>
          <w:rFonts w:ascii="Arial" w:hAnsi="Arial" w:cs="Arial"/>
          <w:b/>
          <w:bCs/>
        </w:rPr>
      </w:pPr>
    </w:p>
    <w:p w:rsidR="00000000" w:rsidRDefault="000E1CA1">
      <w:pPr>
        <w:ind w:left="357" w:firstLine="708"/>
        <w:jc w:val="both"/>
        <w:rPr>
          <w:rFonts w:ascii="Arial" w:hAnsi="Arial" w:cs="Arial"/>
          <w:b/>
          <w:bCs/>
        </w:rPr>
      </w:pPr>
    </w:p>
    <w:p w:rsidR="00000000" w:rsidRDefault="000E1CA1">
      <w:pPr>
        <w:ind w:left="357" w:firstLine="708"/>
        <w:jc w:val="both"/>
        <w:rPr>
          <w:rFonts w:ascii="Arial" w:hAnsi="Arial" w:cs="Arial"/>
          <w:b/>
          <w:bCs/>
        </w:rPr>
      </w:pPr>
    </w:p>
    <w:p w:rsidR="00000000" w:rsidRDefault="000E1CA1">
      <w:pPr>
        <w:pStyle w:val="Ttulo5"/>
        <w:jc w:val="center"/>
        <w:rPr>
          <w:sz w:val="48"/>
        </w:rPr>
      </w:pPr>
      <w:r>
        <w:rPr>
          <w:sz w:val="48"/>
        </w:rPr>
        <w:t>CAPÍTULO 4</w:t>
      </w: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jc w:val="both"/>
        <w:rPr>
          <w:rFonts w:ascii="Arial" w:hAnsi="Arial" w:cs="Arial"/>
          <w:b/>
          <w:bCs/>
          <w:sz w:val="32"/>
        </w:rPr>
      </w:pPr>
      <w:r>
        <w:rPr>
          <w:rFonts w:ascii="Arial" w:hAnsi="Arial" w:cs="Arial"/>
          <w:b/>
          <w:bCs/>
          <w:sz w:val="32"/>
        </w:rPr>
        <w:t>4. Análisis Estadístico Multivari</w:t>
      </w:r>
      <w:r>
        <w:rPr>
          <w:rFonts w:ascii="Arial" w:hAnsi="Arial" w:cs="Arial"/>
          <w:b/>
          <w:bCs/>
          <w:sz w:val="32"/>
        </w:rPr>
        <w:t>ado</w:t>
      </w:r>
    </w:p>
    <w:p w:rsidR="00000000" w:rsidRDefault="000E1CA1">
      <w:pPr>
        <w:ind w:left="357"/>
        <w:jc w:val="both"/>
        <w:rPr>
          <w:rFonts w:ascii="Arial" w:hAnsi="Arial" w:cs="Arial"/>
          <w:b/>
          <w:bCs/>
        </w:rPr>
      </w:pPr>
    </w:p>
    <w:p w:rsidR="00000000" w:rsidRDefault="000E1CA1">
      <w:pPr>
        <w:ind w:left="357"/>
        <w:jc w:val="both"/>
        <w:rPr>
          <w:rFonts w:ascii="Arial" w:hAnsi="Arial" w:cs="Arial"/>
          <w:b/>
          <w:bCs/>
        </w:rPr>
      </w:pPr>
    </w:p>
    <w:p w:rsidR="00000000" w:rsidRDefault="000E1CA1">
      <w:pPr>
        <w:rPr>
          <w:rFonts w:ascii="Arial" w:hAnsi="Arial" w:cs="Arial"/>
          <w:b/>
          <w:bCs/>
        </w:rPr>
      </w:pPr>
      <w:r>
        <w:rPr>
          <w:rFonts w:ascii="Arial" w:hAnsi="Arial" w:cs="Arial"/>
          <w:b/>
          <w:bCs/>
        </w:rPr>
        <w:t xml:space="preserve">      4.1   Introducción</w:t>
      </w:r>
    </w:p>
    <w:p w:rsidR="00000000" w:rsidRDefault="000E1CA1">
      <w:pPr>
        <w:ind w:left="357"/>
        <w:rPr>
          <w:rFonts w:ascii="Arial" w:hAnsi="Arial" w:cs="Arial"/>
          <w:b/>
          <w:bCs/>
        </w:rPr>
      </w:pPr>
    </w:p>
    <w:p w:rsidR="00000000" w:rsidRDefault="000E1CA1">
      <w:pPr>
        <w:pStyle w:val="Sangradetextonormal"/>
        <w:spacing w:line="480" w:lineRule="auto"/>
        <w:ind w:left="902"/>
      </w:pPr>
      <w:r>
        <w:t xml:space="preserve">Para el desarrollo del análisis multivariado se efectuará un estudio de las variables del análisis univariado de las compañías de la Región Sierra  cuyos datos se encuentran en los </w:t>
      </w:r>
      <w:r>
        <w:rPr>
          <w:b/>
          <w:bCs/>
        </w:rPr>
        <w:t>ANEXOS I</w:t>
      </w:r>
      <w:r>
        <w:t>, con el objeto de determinar si es</w:t>
      </w:r>
      <w:r>
        <w:t>tán o no relacionadas linealmente entre ellas, y si pueden ser expresadas a través de factores que agrupan características y reducen el número de variables.</w:t>
      </w: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ind w:left="357"/>
        <w:jc w:val="both"/>
        <w:rPr>
          <w:rFonts w:ascii="Arial" w:hAnsi="Arial" w:cs="Arial"/>
          <w:b/>
          <w:bCs/>
        </w:rPr>
      </w:pPr>
      <w:r>
        <w:rPr>
          <w:rFonts w:ascii="Arial" w:hAnsi="Arial" w:cs="Arial"/>
          <w:b/>
          <w:bCs/>
        </w:rPr>
        <w:t>4.2  Métodos Multivariados</w:t>
      </w:r>
    </w:p>
    <w:p w:rsidR="00000000" w:rsidRDefault="000E1CA1">
      <w:pPr>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Para analizar la interacción existente  entre las variables analizad</w:t>
      </w:r>
      <w:r>
        <w:rPr>
          <w:rFonts w:ascii="Arial" w:hAnsi="Arial" w:cs="Arial"/>
        </w:rPr>
        <w:t>as, se presenta  tres métodos que son importantes:</w:t>
      </w:r>
    </w:p>
    <w:p w:rsidR="00000000" w:rsidRDefault="000E1CA1" w:rsidP="000E1CA1">
      <w:pPr>
        <w:numPr>
          <w:ilvl w:val="0"/>
          <w:numId w:val="18"/>
        </w:numPr>
        <w:spacing w:line="480" w:lineRule="auto"/>
        <w:jc w:val="both"/>
        <w:rPr>
          <w:rFonts w:ascii="Arial" w:hAnsi="Arial" w:cs="Arial"/>
        </w:rPr>
      </w:pPr>
      <w:r>
        <w:rPr>
          <w:rFonts w:ascii="Arial" w:hAnsi="Arial" w:cs="Arial"/>
        </w:rPr>
        <w:t>Correlación lineal</w:t>
      </w:r>
    </w:p>
    <w:p w:rsidR="00000000" w:rsidRDefault="000E1CA1" w:rsidP="000E1CA1">
      <w:pPr>
        <w:numPr>
          <w:ilvl w:val="0"/>
          <w:numId w:val="18"/>
        </w:numPr>
        <w:spacing w:line="480" w:lineRule="auto"/>
        <w:jc w:val="both"/>
        <w:rPr>
          <w:rFonts w:ascii="Arial" w:hAnsi="Arial" w:cs="Arial"/>
        </w:rPr>
      </w:pPr>
      <w:r>
        <w:rPr>
          <w:rFonts w:ascii="Arial" w:hAnsi="Arial" w:cs="Arial"/>
        </w:rPr>
        <w:t>Componentes principales</w:t>
      </w:r>
    </w:p>
    <w:p w:rsidR="00000000" w:rsidRDefault="000E1CA1" w:rsidP="000E1CA1">
      <w:pPr>
        <w:numPr>
          <w:ilvl w:val="0"/>
          <w:numId w:val="18"/>
        </w:numPr>
        <w:spacing w:line="480" w:lineRule="auto"/>
        <w:jc w:val="both"/>
        <w:rPr>
          <w:rFonts w:ascii="Arial" w:hAnsi="Arial" w:cs="Arial"/>
        </w:rPr>
      </w:pPr>
      <w:r>
        <w:rPr>
          <w:rFonts w:ascii="Arial" w:hAnsi="Arial" w:cs="Arial"/>
        </w:rPr>
        <w:t>Análisis de factores</w:t>
      </w:r>
    </w:p>
    <w:p w:rsidR="00000000" w:rsidRDefault="000E1CA1">
      <w:pPr>
        <w:ind w:left="902"/>
        <w:jc w:val="both"/>
        <w:rPr>
          <w:rFonts w:ascii="Arial" w:hAnsi="Arial" w:cs="Arial"/>
          <w:b/>
          <w:bCs/>
        </w:rPr>
      </w:pPr>
      <w:r>
        <w:rPr>
          <w:rFonts w:ascii="Arial" w:hAnsi="Arial" w:cs="Arial"/>
          <w:b/>
          <w:bCs/>
        </w:rPr>
        <w:t>4.2.1  Correlación lineal</w:t>
      </w:r>
    </w:p>
    <w:p w:rsidR="00000000" w:rsidRDefault="000E1CA1">
      <w:pPr>
        <w:ind w:left="360"/>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Es un método multivariado que permite  explicar si las variables de análisis están o no relacionadas linealmente e</w:t>
      </w:r>
      <w:r>
        <w:rPr>
          <w:rFonts w:ascii="Arial" w:hAnsi="Arial" w:cs="Arial"/>
        </w:rPr>
        <w:t xml:space="preserve">ntre ellas, para ello se debe establecer una matriz de datos de n unidades observadas y p características investigadas, dicha matriz de datos rectangular posee n filas que corresponden al número de individuos u observaciones, y p columnas, correspondiente </w:t>
      </w:r>
      <w:r>
        <w:rPr>
          <w:rFonts w:ascii="Arial" w:hAnsi="Arial" w:cs="Arial"/>
        </w:rPr>
        <w:t xml:space="preserve">al número de variables medidas, luego se obtiene la matriz de varianza y covarianza que se denota </w:t>
      </w:r>
      <w:r>
        <w:rPr>
          <w:rFonts w:ascii="Arial" w:hAnsi="Arial" w:cs="Arial"/>
          <w:position w:val="-4"/>
        </w:rPr>
        <w:object w:dxaOrig="220" w:dyaOrig="240">
          <v:shape id="_x0000_i1099" type="#_x0000_t75" style="width:11pt;height:12pt" o:ole="">
            <v:imagedata r:id="rId175" o:title=""/>
          </v:shape>
          <o:OLEObject Type="Embed" ProgID="Equation.3" ShapeID="_x0000_i1099" DrawAspect="Content" ObjectID="_1308036975" r:id="rId176"/>
        </w:object>
      </w:r>
      <w:r>
        <w:rPr>
          <w:rFonts w:ascii="Arial" w:hAnsi="Arial" w:cs="Arial"/>
        </w:rPr>
        <w:t>, siendo</w:t>
      </w:r>
    </w:p>
    <w:p w:rsidR="00000000" w:rsidRDefault="000E1CA1">
      <w:pPr>
        <w:jc w:val="both"/>
        <w:rPr>
          <w:rFonts w:ascii="Arial" w:hAnsi="Arial" w:cs="Arial"/>
        </w:rPr>
      </w:pPr>
    </w:p>
    <w:p w:rsidR="00000000" w:rsidRDefault="000E1CA1">
      <w:pPr>
        <w:spacing w:line="480" w:lineRule="auto"/>
        <w:ind w:left="902"/>
        <w:jc w:val="both"/>
        <w:rPr>
          <w:rFonts w:ascii="Arial" w:hAnsi="Arial" w:cs="Arial"/>
          <w:lang w:val="es-ES_tradnl"/>
        </w:rPr>
      </w:pPr>
      <w:r>
        <w:rPr>
          <w:rFonts w:ascii="Arial" w:hAnsi="Arial" w:cs="Arial"/>
          <w:position w:val="-14"/>
          <w:lang w:val="es-ES_tradnl"/>
        </w:rPr>
        <w:object w:dxaOrig="1719" w:dyaOrig="400">
          <v:shape id="_x0000_i1100" type="#_x0000_t75" style="width:86pt;height:20pt" o:ole="">
            <v:imagedata r:id="rId177" o:title=""/>
          </v:shape>
          <o:OLEObject Type="Embed" ProgID="Equation.3" ShapeID="_x0000_i1100" DrawAspect="Content" ObjectID="_1308036976" r:id="rId178"/>
        </w:object>
      </w:r>
      <w:r>
        <w:rPr>
          <w:rFonts w:ascii="Arial" w:hAnsi="Arial" w:cs="Arial"/>
          <w:lang w:val="es-ES_tradnl"/>
        </w:rPr>
        <w:t xml:space="preserve">                 i= j = 1, 2, 3,……….,p</w:t>
      </w:r>
    </w:p>
    <w:p w:rsidR="00000000" w:rsidRDefault="000E1CA1">
      <w:pPr>
        <w:spacing w:line="480" w:lineRule="auto"/>
        <w:ind w:left="902"/>
        <w:jc w:val="both"/>
        <w:rPr>
          <w:rFonts w:ascii="Arial" w:hAnsi="Arial" w:cs="Arial"/>
        </w:rPr>
      </w:pPr>
      <w:r>
        <w:rPr>
          <w:rFonts w:ascii="Arial" w:hAnsi="Arial" w:cs="Arial"/>
        </w:rPr>
        <w:t xml:space="preserve">estimada por </w:t>
      </w:r>
      <w:r>
        <w:rPr>
          <w:rFonts w:ascii="Arial" w:hAnsi="Arial" w:cs="Arial"/>
          <w:position w:val="-6"/>
        </w:rPr>
        <w:object w:dxaOrig="620" w:dyaOrig="300">
          <v:shape id="_x0000_i1101" type="#_x0000_t75" style="width:31pt;height:15pt" o:ole="">
            <v:imagedata r:id="rId179" o:title=""/>
          </v:shape>
          <o:OLEObject Type="Embed" ProgID="Equation.3" ShapeID="_x0000_i1101" DrawAspect="Content" ObjectID="_1308036977" r:id="rId180"/>
        </w:object>
      </w:r>
      <w:r>
        <w:rPr>
          <w:rFonts w:ascii="Arial" w:hAnsi="Arial" w:cs="Arial"/>
        </w:rPr>
        <w:t>, siendo</w:t>
      </w:r>
    </w:p>
    <w:p w:rsidR="00000000" w:rsidRDefault="000E1CA1">
      <w:pPr>
        <w:spacing w:line="480" w:lineRule="auto"/>
        <w:ind w:left="902"/>
        <w:jc w:val="both"/>
        <w:rPr>
          <w:rFonts w:ascii="Arial" w:hAnsi="Arial" w:cs="Arial"/>
          <w:lang w:val="es-ES_tradnl"/>
        </w:rPr>
      </w:pPr>
      <w:r>
        <w:rPr>
          <w:rFonts w:ascii="Arial" w:hAnsi="Arial" w:cs="Arial"/>
          <w:position w:val="-14"/>
          <w:lang w:val="es-ES_tradnl"/>
        </w:rPr>
        <w:object w:dxaOrig="2000" w:dyaOrig="380">
          <v:shape id="_x0000_i1102" type="#_x0000_t75" style="width:100pt;height:19pt" o:ole="">
            <v:imagedata r:id="rId181" o:title=""/>
          </v:shape>
          <o:OLEObject Type="Embed" ProgID="Equation.3" ShapeID="_x0000_i1102" DrawAspect="Content" ObjectID="_1308036978" r:id="rId182"/>
        </w:object>
      </w:r>
      <w:r>
        <w:rPr>
          <w:rFonts w:ascii="Arial" w:hAnsi="Arial" w:cs="Arial"/>
          <w:lang w:val="es-ES_tradnl"/>
        </w:rPr>
        <w:t xml:space="preserve">             i= j = 1, 2, 3,……….,p</w: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rPr>
      </w:pPr>
      <w:r>
        <w:rPr>
          <w:rFonts w:ascii="Arial" w:hAnsi="Arial" w:cs="Arial"/>
          <w:b/>
          <w:bCs/>
        </w:rPr>
        <w:t>R</w:t>
      </w:r>
      <w:r>
        <w:rPr>
          <w:rFonts w:ascii="Arial" w:hAnsi="Arial" w:cs="Arial"/>
        </w:rPr>
        <w:t xml:space="preserve"> es la matriz de correlación estimada las cual será de p filas por p columnas, denotada por  </w:t>
      </w:r>
      <w:r>
        <w:rPr>
          <w:rFonts w:ascii="Arial" w:hAnsi="Arial" w:cs="Arial"/>
          <w:position w:val="-10"/>
        </w:rPr>
        <w:object w:dxaOrig="660" w:dyaOrig="320">
          <v:shape id="_x0000_i1103" type="#_x0000_t75" style="width:33pt;height:16pt" o:ole="">
            <v:imagedata r:id="rId183" o:title=""/>
          </v:shape>
          <o:OLEObject Type="Embed" ProgID="Equation.3" ShapeID="_x0000_i1103" DrawAspect="Content" ObjectID="_1308036979" r:id="rId184"/>
        </w:object>
      </w:r>
      <w:r>
        <w:rPr>
          <w:rFonts w:ascii="Arial" w:hAnsi="Arial" w:cs="Arial"/>
        </w:rPr>
        <w:t xml:space="preserve">  y sus elementos están dados por:</w:t>
      </w:r>
    </w:p>
    <w:p w:rsidR="00000000" w:rsidRDefault="000E1CA1">
      <w:pPr>
        <w:spacing w:line="480" w:lineRule="auto"/>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position w:val="-36"/>
        </w:rPr>
        <w:object w:dxaOrig="1359" w:dyaOrig="780">
          <v:shape id="_x0000_i1104" type="#_x0000_t75" style="width:68pt;height:39pt" o:ole="">
            <v:imagedata r:id="rId185" o:title=""/>
          </v:shape>
          <o:OLEObject Type="Embed" ProgID="Equation.3" ShapeID="_x0000_i1104" DrawAspect="Content" ObjectID="_1308036980" r:id="rId186"/>
        </w:object>
      </w:r>
      <w:r>
        <w:rPr>
          <w:rFonts w:ascii="Arial" w:hAnsi="Arial" w:cs="Arial"/>
        </w:rPr>
        <w:t xml:space="preserve">        debido a que:</w:t>
      </w:r>
    </w:p>
    <w:p w:rsidR="00000000" w:rsidRDefault="000E1CA1">
      <w:pPr>
        <w:pStyle w:val="Textoindependiente"/>
        <w:spacing w:before="240" w:line="480" w:lineRule="auto"/>
        <w:ind w:left="902"/>
        <w:rPr>
          <w:rFonts w:ascii="Arial" w:hAnsi="Arial" w:cs="Arial"/>
          <w:lang w:val="es-ES_tradnl"/>
        </w:rPr>
      </w:pPr>
      <w:r>
        <w:rPr>
          <w:rFonts w:ascii="Arial" w:hAnsi="Arial" w:cs="Arial"/>
          <w:position w:val="-14"/>
          <w:lang w:val="en-US"/>
        </w:rPr>
        <w:object w:dxaOrig="2160" w:dyaOrig="380">
          <v:shape id="_x0000_i1105" type="#_x0000_t75" style="width:108pt;height:19pt" o:ole="">
            <v:imagedata r:id="rId187" o:title=""/>
          </v:shape>
          <o:OLEObject Type="Embed" ProgID="Equation.3" ShapeID="_x0000_i1105" DrawAspect="Content" ObjectID="_1308036981" r:id="rId188"/>
        </w:object>
      </w:r>
      <w:r>
        <w:rPr>
          <w:rFonts w:ascii="Arial" w:hAnsi="Arial" w:cs="Arial"/>
          <w:lang w:val="es-ES_tradnl"/>
        </w:rPr>
        <w:t xml:space="preserve">            i = j = 1, 2, 3,……….,p    </w:t>
      </w:r>
    </w:p>
    <w:p w:rsidR="00000000" w:rsidRDefault="000E1CA1">
      <w:pPr>
        <w:pStyle w:val="Textoindependiente"/>
        <w:spacing w:before="240" w:line="480" w:lineRule="auto"/>
        <w:ind w:left="902"/>
        <w:rPr>
          <w:rFonts w:ascii="Arial" w:hAnsi="Arial" w:cs="Arial"/>
          <w:lang w:val="es-ES_tradnl"/>
        </w:rPr>
      </w:pPr>
    </w:p>
    <w:p w:rsidR="00000000" w:rsidRDefault="000E1CA1">
      <w:pPr>
        <w:pStyle w:val="Textoindependiente"/>
        <w:spacing w:before="240" w:line="480" w:lineRule="auto"/>
        <w:ind w:left="902"/>
        <w:rPr>
          <w:rFonts w:ascii="Arial" w:hAnsi="Arial" w:cs="Arial"/>
        </w:rPr>
      </w:pPr>
      <w:r>
        <w:rPr>
          <w:rFonts w:ascii="Arial" w:hAnsi="Arial" w:cs="Arial"/>
        </w:rPr>
        <w:t>Obteniendo así una matriz cuya diagonal principal está es formada por unos, y es simétrica como la matriz de varianza y covarianza debido a que:</w:t>
      </w:r>
    </w:p>
    <w:p w:rsidR="00000000" w:rsidRDefault="000E1CA1">
      <w:pPr>
        <w:pStyle w:val="Textoindependiente"/>
        <w:spacing w:before="240" w:line="480" w:lineRule="auto"/>
        <w:ind w:left="902"/>
      </w:pPr>
      <w:r>
        <w:rPr>
          <w:position w:val="-14"/>
        </w:rPr>
        <w:object w:dxaOrig="859" w:dyaOrig="380">
          <v:shape id="_x0000_i1106" type="#_x0000_t75" style="width:43pt;height:19pt" o:ole="">
            <v:imagedata r:id="rId189" o:title=""/>
          </v:shape>
          <o:OLEObject Type="Embed" ProgID="Equation.3" ShapeID="_x0000_i1106" DrawAspect="Content" ObjectID="_1308036982" r:id="rId190"/>
        </w:object>
      </w:r>
      <w:r>
        <w:t xml:space="preserve">        para i </w:t>
      </w:r>
      <w:r>
        <w:sym w:font="Symbol" w:char="F0B9"/>
      </w:r>
      <w:r>
        <w:t xml:space="preserve">  j</w:t>
      </w:r>
    </w:p>
    <w:p w:rsidR="00000000" w:rsidRDefault="000E1CA1">
      <w:pPr>
        <w:pStyle w:val="Textoindependiente"/>
        <w:spacing w:before="240" w:line="480" w:lineRule="auto"/>
        <w:ind w:left="902"/>
        <w:rPr>
          <w:rFonts w:ascii="Arial" w:hAnsi="Arial" w:cs="Arial"/>
          <w:b/>
          <w:bCs/>
        </w:rPr>
      </w:pPr>
      <w:r>
        <w:rPr>
          <w:rFonts w:ascii="Arial" w:hAnsi="Arial" w:cs="Arial"/>
          <w:b/>
          <w:bCs/>
        </w:rPr>
        <w:t>4.2.2   Componentes pr</w:t>
      </w:r>
      <w:r>
        <w:rPr>
          <w:rFonts w:ascii="Arial" w:hAnsi="Arial" w:cs="Arial"/>
          <w:b/>
          <w:bCs/>
        </w:rPr>
        <w:t>incipales</w:t>
      </w:r>
    </w:p>
    <w:p w:rsidR="00000000" w:rsidRDefault="000E1CA1">
      <w:pPr>
        <w:jc w:val="both"/>
        <w:rPr>
          <w:rFonts w:ascii="Arial" w:hAnsi="Arial" w:cs="Arial"/>
        </w:rPr>
      </w:pPr>
    </w:p>
    <w:p w:rsidR="00000000" w:rsidRDefault="000E1CA1">
      <w:pPr>
        <w:pStyle w:val="Sangradetextonormal"/>
        <w:spacing w:line="480" w:lineRule="auto"/>
        <w:ind w:left="902"/>
      </w:pPr>
      <w:r>
        <w:t xml:space="preserve">Es un método multivariado de interdependencia, en el que se estudian p variables de observadas, a través de las cuales se generarán r variables latentes, r </w:t>
      </w:r>
      <w:r>
        <w:sym w:font="Symbol" w:char="F03C"/>
      </w:r>
      <w:r>
        <w:t xml:space="preserve"> p, que se pretende contenga aproximadamente, tanta información como las p variables ori</w:t>
      </w:r>
      <w:r>
        <w:t>ginales, donde se quiere lograr la reducción de datos.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El desarrollo del análisis de componentes principales no supone que la población muestreada es normal p-variada, pero de serlo, algún significado adicional puede ser dada a este análisis.</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Sea X  </w:t>
      </w:r>
      <w:r>
        <w:rPr>
          <w:rFonts w:ascii="Arial" w:hAnsi="Arial" w:cs="Arial"/>
        </w:rPr>
        <w:t xml:space="preserve">un vector p-variado con media </w:t>
      </w:r>
      <w:r>
        <w:rPr>
          <w:rFonts w:ascii="Arial" w:hAnsi="Arial" w:cs="Arial"/>
        </w:rPr>
        <w:sym w:font="Symbol" w:char="F06D"/>
      </w:r>
      <w:r>
        <w:rPr>
          <w:rFonts w:ascii="Arial" w:hAnsi="Arial" w:cs="Arial"/>
        </w:rPr>
        <w:t xml:space="preserve"> y matriz de varianza y covarianza </w:t>
      </w:r>
      <w:r>
        <w:rPr>
          <w:rFonts w:ascii="Arial" w:hAnsi="Arial" w:cs="Arial"/>
          <w:position w:val="-4"/>
        </w:rPr>
        <w:object w:dxaOrig="220" w:dyaOrig="240">
          <v:shape id="_x0000_i1107" type="#_x0000_t75" style="width:11pt;height:12pt" o:ole="">
            <v:imagedata r:id="rId175" o:title=""/>
          </v:shape>
          <o:OLEObject Type="Embed" ProgID="Equation.3" ShapeID="_x0000_i1107" DrawAspect="Content" ObjectID="_1308036983" r:id="rId191"/>
        </w:object>
      </w:r>
      <w:r>
        <w:rPr>
          <w:rFonts w:ascii="Arial" w:hAnsi="Arial" w:cs="Arial"/>
        </w:rPr>
        <w:t xml:space="preserve"> esto es,  </w:t>
      </w:r>
      <w:r>
        <w:rPr>
          <w:rFonts w:ascii="Arial" w:hAnsi="Arial" w:cs="Arial"/>
          <w:position w:val="-14"/>
          <w:lang w:val="en-US"/>
        </w:rPr>
        <w:object w:dxaOrig="1620" w:dyaOrig="380">
          <v:shape id="_x0000_i1108" type="#_x0000_t75" style="width:81pt;height:19pt" o:ole="">
            <v:imagedata r:id="rId192" o:title=""/>
          </v:shape>
          <o:OLEObject Type="Embed" ProgID="Equation.3" ShapeID="_x0000_i1108" DrawAspect="Content" ObjectID="_1308036984" r:id="rId193"/>
        </w:object>
      </w:r>
      <w:r>
        <w:rPr>
          <w:rFonts w:ascii="Arial" w:hAnsi="Arial" w:cs="Arial"/>
        </w:rPr>
        <w:t xml:space="preserve"> se supone además que los valores propios de </w:t>
      </w:r>
      <w:r>
        <w:rPr>
          <w:rFonts w:ascii="Arial" w:hAnsi="Arial" w:cs="Arial"/>
        </w:rPr>
        <w:sym w:font="Symbol" w:char="F053"/>
      </w:r>
      <w:r>
        <w:rPr>
          <w:rFonts w:ascii="Arial" w:hAnsi="Arial" w:cs="Arial"/>
        </w:rPr>
        <w:t xml:space="preserve"> son  </w:t>
      </w:r>
      <w:r>
        <w:rPr>
          <w:rFonts w:ascii="Arial" w:hAnsi="Arial" w:cs="Arial"/>
          <w:position w:val="-14"/>
        </w:rPr>
        <w:object w:dxaOrig="1920" w:dyaOrig="380">
          <v:shape id="_x0000_i1109" type="#_x0000_t75" style="width:96pt;height:19pt" o:ole="">
            <v:imagedata r:id="rId194" o:title=""/>
          </v:shape>
          <o:OLEObject Type="Embed" ProgID="Equation.3" ShapeID="_x0000_i1109" DrawAspect="Content" ObjectID="_1308036985" r:id="rId195"/>
        </w:object>
      </w:r>
      <w:r>
        <w:rPr>
          <w:rFonts w:ascii="Arial" w:hAnsi="Arial" w:cs="Arial"/>
        </w:rPr>
        <w:t xml:space="preserve"> definimos p variables no observadas como </w:t>
      </w:r>
      <w:r>
        <w:rPr>
          <w:rFonts w:ascii="Arial" w:hAnsi="Arial" w:cs="Arial"/>
          <w:position w:val="-14"/>
        </w:rPr>
        <w:object w:dxaOrig="1040" w:dyaOrig="380">
          <v:shape id="_x0000_i1110" type="#_x0000_t75" style="width:52pt;height:19pt" o:ole="">
            <v:imagedata r:id="rId196" o:title=""/>
          </v:shape>
          <o:OLEObject Type="Embed" ProgID="Equation.3" ShapeID="_x0000_i1110" DrawAspect="Content" ObjectID="_1308036986" r:id="rId197"/>
        </w:object>
      </w:r>
      <w:r>
        <w:rPr>
          <w:rFonts w:ascii="Arial" w:hAnsi="Arial" w:cs="Arial"/>
        </w:rPr>
        <w:t xml:space="preserve">, como una combinación lineal de </w:t>
      </w:r>
      <w:r>
        <w:rPr>
          <w:rFonts w:ascii="Arial" w:hAnsi="Arial" w:cs="Arial"/>
          <w:position w:val="-14"/>
        </w:rPr>
        <w:object w:dxaOrig="1160" w:dyaOrig="380">
          <v:shape id="_x0000_i1111" type="#_x0000_t75" style="width:58pt;height:19pt" o:ole="">
            <v:imagedata r:id="rId198" o:title=""/>
          </v:shape>
          <o:OLEObject Type="Embed" ProgID="Equation.3" ShapeID="_x0000_i1111" DrawAspect="Content" ObjectID="_1308036987" r:id="rId199"/>
        </w:object>
      </w:r>
      <w:r>
        <w:rPr>
          <w:rFonts w:ascii="Arial" w:hAnsi="Arial" w:cs="Arial"/>
        </w:rPr>
        <w:t>, así:</w:t>
      </w:r>
    </w:p>
    <w:p w:rsidR="00000000" w:rsidRDefault="000E1CA1">
      <w:pPr>
        <w:spacing w:line="480" w:lineRule="auto"/>
        <w:ind w:left="902"/>
        <w:jc w:val="both"/>
        <w:rPr>
          <w:rFonts w:ascii="Arial" w:hAnsi="Arial" w:cs="Arial"/>
        </w:rPr>
      </w:pPr>
      <w:r>
        <w:rPr>
          <w:rFonts w:ascii="Arial" w:hAnsi="Arial" w:cs="Arial"/>
          <w:position w:val="-14"/>
        </w:rPr>
        <w:object w:dxaOrig="3480" w:dyaOrig="380">
          <v:shape id="_x0000_i1112" type="#_x0000_t75" style="width:174pt;height:19pt" o:ole="">
            <v:imagedata r:id="rId200" o:title=""/>
          </v:shape>
          <o:OLEObject Type="Embed" ProgID="Equation.3" ShapeID="_x0000_i1112" DrawAspect="Content" ObjectID="_1308036988" r:id="rId201"/>
        </w:object>
      </w:r>
    </w:p>
    <w:p w:rsidR="00000000" w:rsidRDefault="000E1CA1">
      <w:pPr>
        <w:spacing w:line="480" w:lineRule="auto"/>
        <w:ind w:left="902"/>
        <w:jc w:val="both"/>
        <w:rPr>
          <w:rFonts w:ascii="Arial" w:hAnsi="Arial" w:cs="Arial"/>
        </w:rPr>
      </w:pPr>
      <w:r>
        <w:rPr>
          <w:rFonts w:ascii="Arial" w:hAnsi="Arial" w:cs="Arial"/>
          <w:position w:val="-14"/>
        </w:rPr>
        <w:object w:dxaOrig="3580" w:dyaOrig="380">
          <v:shape id="_x0000_i1113" type="#_x0000_t75" style="width:179pt;height:19pt" o:ole="">
            <v:imagedata r:id="rId202" o:title=""/>
          </v:shape>
          <o:OLEObject Type="Embed" ProgID="Equation.3" ShapeID="_x0000_i1113" DrawAspect="Content" ObjectID="_1308036989" r:id="rId203"/>
        </w:object>
      </w:r>
    </w:p>
    <w:p w:rsidR="00000000" w:rsidRDefault="000E1CA1">
      <w:pPr>
        <w:spacing w:line="480" w:lineRule="auto"/>
        <w:ind w:left="902"/>
        <w:jc w:val="both"/>
        <w:rPr>
          <w:rFonts w:ascii="Arial" w:hAnsi="Arial" w:cs="Arial"/>
          <w:lang w:val="en-US"/>
        </w:rPr>
      </w:pPr>
      <w:r>
        <w:rPr>
          <w:rFonts w:ascii="Arial" w:hAnsi="Arial" w:cs="Arial"/>
          <w:lang w:val="en-US"/>
        </w:rPr>
        <w:t>.</w:t>
      </w:r>
    </w:p>
    <w:p w:rsidR="00000000" w:rsidRDefault="000E1CA1">
      <w:pPr>
        <w:spacing w:line="480" w:lineRule="auto"/>
        <w:ind w:left="902"/>
        <w:jc w:val="both"/>
        <w:rPr>
          <w:rFonts w:ascii="Arial" w:hAnsi="Arial" w:cs="Arial"/>
          <w:lang w:val="en-US"/>
        </w:rPr>
      </w:pPr>
      <w:r>
        <w:rPr>
          <w:rFonts w:ascii="Arial" w:hAnsi="Arial" w:cs="Arial"/>
          <w:lang w:val="en-US"/>
        </w:rPr>
        <w:t>.</w:t>
      </w:r>
    </w:p>
    <w:p w:rsidR="00000000" w:rsidRDefault="000E1CA1">
      <w:pPr>
        <w:spacing w:line="480" w:lineRule="auto"/>
        <w:ind w:left="902"/>
        <w:jc w:val="both"/>
        <w:rPr>
          <w:rFonts w:ascii="Arial" w:hAnsi="Arial" w:cs="Arial"/>
          <w:lang w:val="es-ES_tradnl"/>
        </w:rPr>
      </w:pPr>
      <w:r>
        <w:rPr>
          <w:rFonts w:ascii="Arial" w:hAnsi="Arial" w:cs="Arial"/>
          <w:lang w:val="es-ES_tradnl"/>
        </w:rPr>
        <w:t>.</w:t>
      </w:r>
    </w:p>
    <w:p w:rsidR="00000000" w:rsidRDefault="000E1CA1">
      <w:pPr>
        <w:spacing w:line="480" w:lineRule="auto"/>
        <w:ind w:left="902"/>
        <w:jc w:val="both"/>
        <w:rPr>
          <w:rFonts w:ascii="Arial" w:hAnsi="Arial" w:cs="Arial"/>
        </w:rPr>
      </w:pPr>
      <w:r>
        <w:rPr>
          <w:rFonts w:ascii="Arial" w:hAnsi="Arial" w:cs="Arial"/>
          <w:position w:val="-14"/>
          <w:lang w:val="es-ES_tradnl"/>
        </w:rPr>
        <w:object w:dxaOrig="3620" w:dyaOrig="380">
          <v:shape id="_x0000_i1114" type="#_x0000_t75" style="width:181pt;height:19pt" o:ole="">
            <v:imagedata r:id="rId204" o:title=""/>
          </v:shape>
          <o:OLEObject Type="Embed" ProgID="Equation.3" ShapeID="_x0000_i1114" DrawAspect="Content" ObjectID="_1308036990" r:id="rId205"/>
        </w:object>
      </w:r>
      <w:r>
        <w:rPr>
          <w:rFonts w:ascii="Arial" w:hAnsi="Arial" w:cs="Arial"/>
          <w:lang w:val="es-ES_tradnl"/>
        </w:rPr>
        <w:t xml:space="preserve">  </w:t>
      </w:r>
    </w:p>
    <w:p w:rsidR="00000000" w:rsidRDefault="000E1CA1">
      <w:pPr>
        <w:spacing w:line="480" w:lineRule="auto"/>
        <w:ind w:left="902"/>
        <w:jc w:val="both"/>
        <w:rPr>
          <w:rFonts w:ascii="Arial" w:hAnsi="Arial" w:cs="Arial"/>
        </w:rPr>
      </w:pPr>
      <w:r>
        <w:rPr>
          <w:rFonts w:ascii="Arial" w:hAnsi="Arial" w:cs="Arial"/>
        </w:rPr>
        <w:t>Entonces:</w:t>
      </w:r>
    </w:p>
    <w:p w:rsidR="00000000" w:rsidRDefault="000E1CA1">
      <w:pPr>
        <w:spacing w:line="480" w:lineRule="auto"/>
        <w:ind w:left="902"/>
        <w:jc w:val="both"/>
        <w:rPr>
          <w:rFonts w:ascii="Arial" w:hAnsi="Arial" w:cs="Arial"/>
        </w:rPr>
      </w:pPr>
      <w:r>
        <w:rPr>
          <w:rFonts w:ascii="Arial" w:hAnsi="Arial" w:cs="Arial"/>
          <w:position w:val="-68"/>
        </w:rPr>
        <w:object w:dxaOrig="5100" w:dyaOrig="1480">
          <v:shape id="_x0000_i1115" type="#_x0000_t75" style="width:255pt;height:74pt" o:ole="">
            <v:imagedata r:id="rId206" o:title=""/>
          </v:shape>
          <o:OLEObject Type="Embed" ProgID="Equation.3" ShapeID="_x0000_i1115" DrawAspect="Content" ObjectID="_1308036991" r:id="rId207"/>
        </w:object>
      </w:r>
      <w:r>
        <w:rPr>
          <w:rFonts w:ascii="Arial" w:hAnsi="Arial" w:cs="Arial"/>
        </w:rPr>
        <w:tab/>
      </w:r>
    </w:p>
    <w:p w:rsidR="00000000" w:rsidRDefault="000E1CA1">
      <w:pPr>
        <w:spacing w:line="480" w:lineRule="auto"/>
        <w:ind w:left="902"/>
        <w:jc w:val="both"/>
        <w:rPr>
          <w:rFonts w:ascii="Arial" w:hAnsi="Arial" w:cs="Arial"/>
          <w:lang w:val="es-ES_tradnl"/>
        </w:rPr>
      </w:pPr>
      <w:r>
        <w:rPr>
          <w:rFonts w:ascii="Arial" w:hAnsi="Arial" w:cs="Arial"/>
          <w:lang w:val="es-ES_tradnl"/>
        </w:rPr>
        <w:t xml:space="preserve">El  vector propio de la matriz de varianza y covarianza </w:t>
      </w:r>
      <w:r>
        <w:rPr>
          <w:rFonts w:ascii="Arial" w:hAnsi="Arial" w:cs="Arial"/>
          <w:position w:val="-4"/>
          <w:lang w:val="es-ES_tradnl"/>
        </w:rPr>
        <w:object w:dxaOrig="220" w:dyaOrig="240">
          <v:shape id="_x0000_i1116" type="#_x0000_t75" style="width:11pt;height:12pt" o:ole="">
            <v:imagedata r:id="rId175" o:title=""/>
          </v:shape>
          <o:OLEObject Type="Embed" ProgID="Equation.3" ShapeID="_x0000_i1116" DrawAspect="Content" ObjectID="_1308036992" r:id="rId208"/>
        </w:object>
      </w:r>
      <w:r>
        <w:rPr>
          <w:rFonts w:ascii="Arial" w:hAnsi="Arial" w:cs="Arial"/>
          <w:lang w:val="es-ES_tradnl"/>
        </w:rPr>
        <w:t xml:space="preserve"> de cada una de la p variables observadas es </w:t>
      </w:r>
      <w:r>
        <w:rPr>
          <w:rFonts w:ascii="Arial" w:hAnsi="Arial" w:cs="Arial"/>
          <w:position w:val="-14"/>
          <w:lang w:val="es-ES_tradnl"/>
        </w:rPr>
        <w:object w:dxaOrig="1960" w:dyaOrig="400">
          <v:shape id="_x0000_i1117" type="#_x0000_t75" style="width:98pt;height:20pt" o:ole="">
            <v:imagedata r:id="rId209" o:title=""/>
          </v:shape>
          <o:OLEObject Type="Embed" ProgID="Equation.3" ShapeID="_x0000_i1117" DrawAspect="Content" ObjectID="_1308036993" r:id="rId210"/>
        </w:object>
      </w:r>
      <w:r>
        <w:rPr>
          <w:rFonts w:ascii="Arial" w:hAnsi="Arial" w:cs="Arial"/>
          <w:lang w:val="es-ES_tradnl"/>
        </w:rPr>
        <w:t xml:space="preserve"> para i= 1,......p</w:t>
      </w:r>
    </w:p>
    <w:p w:rsidR="00000000" w:rsidRDefault="000E1CA1">
      <w:pPr>
        <w:spacing w:line="480" w:lineRule="auto"/>
        <w:ind w:left="902"/>
        <w:jc w:val="both"/>
        <w:rPr>
          <w:rFonts w:ascii="Arial" w:hAnsi="Arial" w:cs="Arial"/>
        </w:rPr>
      </w:pPr>
      <w:r>
        <w:rPr>
          <w:rFonts w:ascii="Arial" w:hAnsi="Arial" w:cs="Arial"/>
        </w:rPr>
        <w:t>Sabemos que:</w:t>
      </w:r>
    </w:p>
    <w:p w:rsidR="00000000" w:rsidRDefault="000E1CA1">
      <w:pPr>
        <w:spacing w:line="480" w:lineRule="auto"/>
        <w:ind w:left="902"/>
        <w:jc w:val="both"/>
        <w:rPr>
          <w:rFonts w:ascii="Arial" w:hAnsi="Arial" w:cs="Arial"/>
        </w:rPr>
      </w:pPr>
      <w:r>
        <w:rPr>
          <w:rFonts w:ascii="Arial" w:hAnsi="Arial" w:cs="Arial"/>
          <w:position w:val="-14"/>
        </w:rPr>
        <w:object w:dxaOrig="3200" w:dyaOrig="400">
          <v:shape id="_x0000_i1118" type="#_x0000_t75" style="width:160pt;height:20pt" o:ole="">
            <v:imagedata r:id="rId211" o:title=""/>
          </v:shape>
          <o:OLEObject Type="Embed" ProgID="Equation.3" ShapeID="_x0000_i1118" DrawAspect="Content" ObjectID="_1308036994" r:id="rId212"/>
        </w:object>
      </w:r>
    </w:p>
    <w:p w:rsidR="00000000" w:rsidRDefault="000E1CA1">
      <w:pPr>
        <w:spacing w:line="480" w:lineRule="auto"/>
        <w:ind w:left="902"/>
        <w:jc w:val="both"/>
        <w:rPr>
          <w:rFonts w:ascii="Arial" w:hAnsi="Arial" w:cs="Arial"/>
        </w:rPr>
      </w:pPr>
      <w:r>
        <w:rPr>
          <w:rFonts w:ascii="Arial" w:hAnsi="Arial" w:cs="Arial"/>
          <w:position w:val="-12"/>
        </w:rPr>
        <w:object w:dxaOrig="3120" w:dyaOrig="380">
          <v:shape id="_x0000_i1119" type="#_x0000_t75" style="width:156pt;height:19pt" o:ole="">
            <v:imagedata r:id="rId213" o:title=""/>
          </v:shape>
          <o:OLEObject Type="Embed" ProgID="Equation.3" ShapeID="_x0000_i1119" DrawAspect="Content" ObjectID="_1308036995" r:id="rId214"/>
        </w:object>
      </w:r>
      <w:r>
        <w:rPr>
          <w:rFonts w:ascii="Arial" w:hAnsi="Arial" w:cs="Arial"/>
        </w:rPr>
        <w:t xml:space="preserve">         i= 1,.......................p</w:t>
      </w:r>
    </w:p>
    <w:p w:rsidR="00000000" w:rsidRDefault="000E1CA1">
      <w:pPr>
        <w:spacing w:line="480" w:lineRule="auto"/>
        <w:ind w:left="902"/>
        <w:jc w:val="both"/>
        <w:rPr>
          <w:rFonts w:ascii="Arial" w:hAnsi="Arial" w:cs="Arial"/>
          <w:lang w:val="es-ES_tradnl"/>
        </w:rPr>
      </w:pPr>
      <w:r>
        <w:rPr>
          <w:rFonts w:ascii="Arial" w:hAnsi="Arial" w:cs="Arial"/>
          <w:lang w:val="es-ES_tradnl"/>
        </w:rPr>
        <w:t xml:space="preserve">Con      </w:t>
      </w:r>
      <w:r>
        <w:rPr>
          <w:rFonts w:ascii="Arial" w:hAnsi="Arial" w:cs="Arial"/>
          <w:position w:val="-12"/>
          <w:lang w:val="es-ES_tradnl"/>
        </w:rPr>
        <w:object w:dxaOrig="1380" w:dyaOrig="380">
          <v:shape id="_x0000_i1120" type="#_x0000_t75" style="width:69pt;height:19pt" o:ole="">
            <v:imagedata r:id="rId215" o:title=""/>
          </v:shape>
          <o:OLEObject Type="Embed" ProgID="Equation.3" ShapeID="_x0000_i1120" DrawAspect="Content" ObjectID="_1308036996" r:id="rId216"/>
        </w:object>
      </w:r>
      <w:r>
        <w:rPr>
          <w:rFonts w:ascii="Arial" w:hAnsi="Arial" w:cs="Arial"/>
          <w:lang w:val="es-ES_tradnl"/>
        </w:rPr>
        <w:t xml:space="preserve">    y      </w:t>
      </w:r>
      <w:r>
        <w:rPr>
          <w:rFonts w:ascii="Arial" w:hAnsi="Arial" w:cs="Arial"/>
          <w:position w:val="-14"/>
          <w:lang w:val="es-ES_tradnl"/>
        </w:rPr>
        <w:object w:dxaOrig="1840" w:dyaOrig="400">
          <v:shape id="_x0000_i1121" type="#_x0000_t75" style="width:92pt;height:20pt" o:ole="">
            <v:imagedata r:id="rId217" o:title=""/>
          </v:shape>
          <o:OLEObject Type="Embed" ProgID="Equation.3" ShapeID="_x0000_i1121" DrawAspect="Content" ObjectID="_1308036997" r:id="rId218"/>
        </w:object>
      </w:r>
      <w:r>
        <w:rPr>
          <w:rFonts w:ascii="Arial" w:hAnsi="Arial" w:cs="Arial"/>
          <w:lang w:val="es-ES_tradnl"/>
        </w:rPr>
        <w:t xml:space="preserve">  siendo  </w:t>
      </w:r>
      <w:r>
        <w:t xml:space="preserve">i </w:t>
      </w:r>
      <w:r>
        <w:sym w:font="Symbol" w:char="F0B9"/>
      </w:r>
      <w:r>
        <w:t xml:space="preserve">  j</w:t>
      </w:r>
    </w:p>
    <w:p w:rsidR="00000000" w:rsidRDefault="000E1CA1">
      <w:pPr>
        <w:spacing w:line="480" w:lineRule="auto"/>
        <w:ind w:left="902"/>
        <w:jc w:val="both"/>
        <w:rPr>
          <w:rFonts w:ascii="Arial" w:hAnsi="Arial" w:cs="Arial"/>
          <w:lang w:val="es-ES_tradnl"/>
        </w:rPr>
      </w:pPr>
    </w:p>
    <w:p w:rsidR="00000000" w:rsidRDefault="000E1CA1">
      <w:pPr>
        <w:spacing w:line="480" w:lineRule="auto"/>
        <w:ind w:left="902"/>
        <w:jc w:val="both"/>
        <w:rPr>
          <w:rFonts w:ascii="Arial" w:hAnsi="Arial" w:cs="Arial"/>
        </w:rPr>
      </w:pPr>
      <w:r>
        <w:rPr>
          <w:rFonts w:ascii="Arial" w:hAnsi="Arial" w:cs="Arial"/>
        </w:rPr>
        <w:t xml:space="preserve">Las componentes principales de X son aquellas combinaciones lineales </w:t>
      </w:r>
      <w:r>
        <w:rPr>
          <w:rFonts w:ascii="Arial" w:hAnsi="Arial" w:cs="Arial"/>
          <w:position w:val="-14"/>
        </w:rPr>
        <w:object w:dxaOrig="1040" w:dyaOrig="380">
          <v:shape id="_x0000_i1122" type="#_x0000_t75" style="width:52pt;height:19pt" o:ole="">
            <v:imagedata r:id="rId196" o:title=""/>
          </v:shape>
          <o:OLEObject Type="Embed" ProgID="Equation.3" ShapeID="_x0000_i1122" DrawAspect="Content" ObjectID="_1308036998" r:id="rId219"/>
        </w:object>
      </w:r>
      <w:r>
        <w:rPr>
          <w:rFonts w:ascii="Arial" w:hAnsi="Arial" w:cs="Arial"/>
        </w:rPr>
        <w:t xml:space="preserve"> de esta manera construidas que son no correlacionadas y cuyas varianzas son tan grandes como sea posible.</w:t>
      </w:r>
    </w:p>
    <w:p w:rsidR="00000000" w:rsidRDefault="000E1CA1">
      <w:pPr>
        <w:pStyle w:val="Sangradetextonormal"/>
        <w:spacing w:line="480" w:lineRule="auto"/>
        <w:ind w:left="902"/>
      </w:pPr>
      <w:r>
        <w:t>El número de componentes principale</w:t>
      </w:r>
      <w:r>
        <w:t>s escogidas dependerá del porcentaje de varianza que se desee explicar.</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Si deseamos obtener la mayor proporción del total de varianza de la población explicada por las componentes principales el valor individual de su aporte está dado por:</w:t>
      </w:r>
    </w:p>
    <w:p w:rsidR="00000000" w:rsidRDefault="000E1CA1">
      <w:pPr>
        <w:spacing w:line="480" w:lineRule="auto"/>
        <w:ind w:left="902"/>
        <w:jc w:val="both"/>
        <w:rPr>
          <w:rFonts w:ascii="Arial" w:hAnsi="Arial" w:cs="Arial"/>
          <w:lang w:val="es-ES_tradnl"/>
        </w:rPr>
      </w:pPr>
      <w:r>
        <w:rPr>
          <w:rFonts w:ascii="Arial" w:hAnsi="Arial" w:cs="Arial"/>
          <w:position w:val="-34"/>
          <w:lang w:val="en-US"/>
        </w:rPr>
        <w:object w:dxaOrig="2100" w:dyaOrig="720">
          <v:shape id="_x0000_i1123" type="#_x0000_t75" style="width:105pt;height:36pt" o:ole="">
            <v:imagedata r:id="rId220" o:title=""/>
          </v:shape>
          <o:OLEObject Type="Embed" ProgID="Equation.3" ShapeID="_x0000_i1123" DrawAspect="Content" ObjectID="_1308036999" r:id="rId221"/>
        </w:object>
      </w:r>
      <w:r>
        <w:rPr>
          <w:rFonts w:ascii="Arial" w:hAnsi="Arial" w:cs="Arial"/>
          <w:lang w:val="es-ES_tradnl"/>
        </w:rPr>
        <w:t xml:space="preserve">           para   r = 1,…………..p</w:t>
      </w: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pStyle w:val="Sangradetextonormal"/>
        <w:spacing w:line="480" w:lineRule="auto"/>
        <w:ind w:left="902"/>
        <w:rPr>
          <w:lang w:val="es-ES_tradnl"/>
        </w:rPr>
      </w:pPr>
      <w:r>
        <w:rPr>
          <w:lang w:val="es-ES_tradnl"/>
        </w:rPr>
        <w:t>El número de componentes principales escogidas dependerá del porcentaje de varianza que se desee explicar, que siempre será alto.</w:t>
      </w: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spacing w:line="480" w:lineRule="auto"/>
        <w:ind w:left="902"/>
        <w:jc w:val="both"/>
        <w:rPr>
          <w:rFonts w:ascii="Arial" w:hAnsi="Arial" w:cs="Arial"/>
          <w:b/>
          <w:bCs/>
          <w:lang w:val="es-ES_tradnl"/>
        </w:rPr>
      </w:pPr>
      <w:r>
        <w:rPr>
          <w:rFonts w:ascii="Arial" w:hAnsi="Arial" w:cs="Arial"/>
          <w:b/>
          <w:bCs/>
          <w:lang w:val="es-ES_tradnl"/>
        </w:rPr>
        <w:t>4.2.3   Análisis de Factores</w:t>
      </w:r>
    </w:p>
    <w:p w:rsidR="00000000" w:rsidRDefault="000E1CA1">
      <w:pPr>
        <w:spacing w:line="480" w:lineRule="auto"/>
        <w:ind w:left="902"/>
        <w:jc w:val="both"/>
        <w:rPr>
          <w:rFonts w:ascii="Arial" w:hAnsi="Arial" w:cs="Arial"/>
        </w:rPr>
      </w:pPr>
      <w:r>
        <w:rPr>
          <w:rFonts w:ascii="Arial" w:hAnsi="Arial" w:cs="Arial"/>
        </w:rPr>
        <w:t>Es un método multivariado cuyo propósito es buscar</w:t>
      </w:r>
      <w:r>
        <w:rPr>
          <w:rFonts w:ascii="Arial" w:hAnsi="Arial" w:cs="Arial"/>
        </w:rPr>
        <w:t xml:space="preserve"> una relación de covarianza entre muchas variables en términos de unas pocas, llamados factores, éstos son no observables.</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b/>
          <w:bCs/>
        </w:rPr>
        <w:t>Matriz de carga.-</w:t>
      </w:r>
      <w:r>
        <w:rPr>
          <w:rFonts w:ascii="Arial" w:hAnsi="Arial" w:cs="Arial"/>
        </w:rPr>
        <w:t xml:space="preserve">  Es una matriz de correlaciones entre las componentes principales y las variables de estudio, a través de la cual</w:t>
      </w:r>
      <w:r>
        <w:rPr>
          <w:rFonts w:ascii="Arial" w:hAnsi="Arial" w:cs="Arial"/>
        </w:rPr>
        <w:t xml:space="preserve"> podremos formar grupos de variables que estén altamente correlacionadas y así identificar las más representativas de cada componente principal.</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902"/>
        <w:jc w:val="both"/>
        <w:rPr>
          <w:rFonts w:ascii="Arial" w:hAnsi="Arial" w:cs="Arial"/>
        </w:rPr>
      </w:pPr>
      <w:r>
        <w:rPr>
          <w:rFonts w:ascii="Arial" w:hAnsi="Arial" w:cs="Arial"/>
        </w:rPr>
        <w:t xml:space="preserve">La estandarización nos ayuda si existe una variable con alta varianza que pueda influir en la determinación </w:t>
      </w:r>
      <w:r>
        <w:rPr>
          <w:rFonts w:ascii="Arial" w:hAnsi="Arial" w:cs="Arial"/>
        </w:rPr>
        <w:t>de esta matriz, por eso usamos la matriz de correlación en vez de la de covarianza.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spacing w:line="480" w:lineRule="auto"/>
        <w:ind w:left="357"/>
        <w:jc w:val="both"/>
        <w:rPr>
          <w:rFonts w:ascii="Arial" w:hAnsi="Arial" w:cs="Arial"/>
          <w:b/>
          <w:bCs/>
        </w:rPr>
      </w:pPr>
      <w:r>
        <w:rPr>
          <w:rFonts w:ascii="Arial" w:hAnsi="Arial" w:cs="Arial"/>
          <w:b/>
          <w:bCs/>
        </w:rPr>
        <w:t>4.3   Matriz de correlación</w:t>
      </w:r>
    </w:p>
    <w:p w:rsidR="00000000" w:rsidRDefault="000E1CA1">
      <w:pPr>
        <w:pStyle w:val="Sangradetextonormal"/>
        <w:spacing w:line="480" w:lineRule="auto"/>
        <w:ind w:left="902"/>
      </w:pPr>
      <w:r>
        <w:t xml:space="preserve">Se presenta en la tabla XXXVIII la matriz de correlación entre las variables de estudio especificadas en los </w:t>
      </w:r>
      <w:r>
        <w:rPr>
          <w:b/>
          <w:bCs/>
        </w:rPr>
        <w:t>ANEXOS II</w:t>
      </w:r>
      <w:r>
        <w:t>, con el propósito de de</w:t>
      </w:r>
      <w:r>
        <w:t>terminar que variables están relacionadas la una con la otra.</w:t>
      </w: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ind w:left="902"/>
        <w:jc w:val="both"/>
        <w:rPr>
          <w:rFonts w:ascii="Arial" w:hAnsi="Arial" w:cs="Arial"/>
        </w:rPr>
      </w:pPr>
    </w:p>
    <w:p w:rsidR="00000000" w:rsidRDefault="000E1CA1">
      <w:pPr>
        <w:pStyle w:val="Sangradetextonormal"/>
        <w:spacing w:line="480" w:lineRule="auto"/>
        <w:ind w:left="902"/>
      </w:pPr>
      <w:r>
        <w:t xml:space="preserve">Se puede observar los valores en “negrita”, son aquellos que representan una alta correlación en ese par de variables.  Se ha escogido como alta correlación cuyos valores absolutos sean </w:t>
      </w:r>
      <w:r>
        <w:sym w:font="Symbol" w:char="F03E"/>
      </w:r>
      <w:r>
        <w:t xml:space="preserve"> 0.6</w:t>
      </w:r>
      <w:r>
        <w:t>0.</w:t>
      </w: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jc w:val="center"/>
        <w:rPr>
          <w:b/>
          <w:bCs/>
          <w:sz w:val="28"/>
        </w:rPr>
      </w:pPr>
      <w:r>
        <w:rPr>
          <w:b/>
          <w:bCs/>
          <w:sz w:val="28"/>
        </w:rPr>
        <w:t>Matriz de Datos</w:t>
      </w: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spacing w:line="480" w:lineRule="auto"/>
        <w:ind w:left="902"/>
        <w:rPr>
          <w:lang w:val="es-ES_tradnl"/>
        </w:rPr>
      </w:pPr>
      <w:r>
        <w:t xml:space="preserve">Como podemos notar que la </w:t>
      </w:r>
      <w:r>
        <w:rPr>
          <w:lang w:val="es-ES_tradnl"/>
        </w:rPr>
        <w:t xml:space="preserve">variable </w:t>
      </w:r>
      <w:r>
        <w:rPr>
          <w:b/>
          <w:bCs/>
          <w:lang w:val="es-ES_tradnl"/>
        </w:rPr>
        <w:t>X</w:t>
      </w:r>
      <w:r>
        <w:rPr>
          <w:b/>
          <w:bCs/>
          <w:vertAlign w:val="subscript"/>
          <w:lang w:val="es-ES_tradnl"/>
        </w:rPr>
        <w:t>2</w:t>
      </w:r>
      <w:r>
        <w:rPr>
          <w:b/>
          <w:bCs/>
          <w:lang w:val="es-ES_tradnl"/>
        </w:rPr>
        <w:t>:</w:t>
      </w:r>
      <w:r>
        <w:rPr>
          <w:b/>
          <w:bCs/>
          <w:i/>
          <w:iCs/>
          <w:lang w:val="es-ES_tradnl"/>
        </w:rPr>
        <w:t xml:space="preserve">  </w:t>
      </w:r>
      <w:r>
        <w:rPr>
          <w:lang w:val="es-ES_tradnl"/>
        </w:rPr>
        <w:t xml:space="preserve">Activos de las compañías de la Región Sierra se encuentra altamente correlacionada con </w:t>
      </w:r>
      <w:r>
        <w:rPr>
          <w:b/>
          <w:bCs/>
          <w:lang w:val="es-ES_tradnl"/>
        </w:rPr>
        <w:t>X</w:t>
      </w:r>
      <w:r>
        <w:rPr>
          <w:b/>
          <w:bCs/>
          <w:vertAlign w:val="subscript"/>
          <w:lang w:val="es-ES_tradnl"/>
        </w:rPr>
        <w:t>3</w:t>
      </w:r>
      <w:r>
        <w:rPr>
          <w:b/>
          <w:bCs/>
          <w:lang w:val="es-ES_tradnl"/>
        </w:rPr>
        <w:t>:</w:t>
      </w:r>
      <w:r>
        <w:rPr>
          <w:i/>
          <w:iCs/>
          <w:lang w:val="es-ES_tradnl"/>
        </w:rPr>
        <w:t xml:space="preserve">  </w:t>
      </w:r>
      <w:r>
        <w:rPr>
          <w:lang w:val="es-ES_tradnl"/>
        </w:rPr>
        <w:t xml:space="preserve">Pasivos de las compañías de la Región Sierra y con </w:t>
      </w:r>
      <w:r>
        <w:rPr>
          <w:b/>
          <w:bCs/>
          <w:lang w:val="es-ES_tradnl"/>
        </w:rPr>
        <w:t>X</w:t>
      </w:r>
      <w:r>
        <w:rPr>
          <w:b/>
          <w:bCs/>
          <w:vertAlign w:val="subscript"/>
          <w:lang w:val="es-ES_tradnl"/>
        </w:rPr>
        <w:t>4</w:t>
      </w:r>
      <w:r>
        <w:rPr>
          <w:b/>
          <w:bCs/>
          <w:lang w:val="es-ES_tradnl"/>
        </w:rPr>
        <w:t>:</w:t>
      </w:r>
      <w:r>
        <w:rPr>
          <w:i/>
          <w:iCs/>
          <w:lang w:val="es-ES_tradnl"/>
        </w:rPr>
        <w:t xml:space="preserve">  </w:t>
      </w:r>
      <w:r>
        <w:rPr>
          <w:lang w:val="es-ES_tradnl"/>
        </w:rPr>
        <w:t>Pa</w:t>
      </w:r>
      <w:r>
        <w:rPr>
          <w:lang w:val="es-ES_tradnl"/>
        </w:rPr>
        <w:t xml:space="preserve">trimonios de las compañías de la Región Sierra, con 0.993 y 0.973 respectivamente y la variable </w:t>
      </w:r>
      <w:r>
        <w:rPr>
          <w:b/>
          <w:bCs/>
          <w:lang w:val="es-ES_tradnl"/>
        </w:rPr>
        <w:t>X</w:t>
      </w:r>
      <w:r>
        <w:rPr>
          <w:b/>
          <w:bCs/>
          <w:vertAlign w:val="subscript"/>
          <w:lang w:val="es-ES_tradnl"/>
        </w:rPr>
        <w:t>4</w:t>
      </w:r>
      <w:r>
        <w:rPr>
          <w:b/>
          <w:bCs/>
          <w:lang w:val="es-ES_tradnl"/>
        </w:rPr>
        <w:t>:</w:t>
      </w:r>
      <w:r>
        <w:rPr>
          <w:i/>
          <w:iCs/>
          <w:lang w:val="es-ES_tradnl"/>
        </w:rPr>
        <w:t xml:space="preserve">  </w:t>
      </w:r>
      <w:r>
        <w:rPr>
          <w:lang w:val="es-ES_tradnl"/>
        </w:rPr>
        <w:t xml:space="preserve">Patrimonios de las compañías de la Región Sierra se encuentra altamente correlacionada con </w:t>
      </w:r>
      <w:r>
        <w:rPr>
          <w:b/>
          <w:bCs/>
          <w:lang w:val="es-ES_tradnl"/>
        </w:rPr>
        <w:t>X</w:t>
      </w:r>
      <w:r>
        <w:rPr>
          <w:b/>
          <w:bCs/>
          <w:vertAlign w:val="subscript"/>
          <w:lang w:val="es-ES_tradnl"/>
        </w:rPr>
        <w:t>5</w:t>
      </w:r>
      <w:r>
        <w:rPr>
          <w:b/>
          <w:bCs/>
          <w:lang w:val="es-ES_tradnl"/>
        </w:rPr>
        <w:t>:</w:t>
      </w:r>
      <w:r>
        <w:rPr>
          <w:i/>
          <w:iCs/>
          <w:lang w:val="es-ES_tradnl"/>
        </w:rPr>
        <w:t xml:space="preserve">  </w:t>
      </w:r>
      <w:r>
        <w:rPr>
          <w:lang w:val="es-ES_tradnl"/>
        </w:rPr>
        <w:t>Ventas de las compañías de la Región Sierra con 0.967.</w:t>
      </w: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spacing w:line="480" w:lineRule="auto"/>
        <w:ind w:left="357"/>
        <w:jc w:val="both"/>
        <w:rPr>
          <w:rFonts w:ascii="Arial" w:hAnsi="Arial" w:cs="Arial"/>
          <w:b/>
          <w:bCs/>
        </w:rPr>
      </w:pPr>
      <w:r>
        <w:rPr>
          <w:rFonts w:ascii="Arial" w:hAnsi="Arial" w:cs="Arial"/>
          <w:b/>
          <w:bCs/>
        </w:rPr>
        <w:t>4</w:t>
      </w:r>
      <w:r>
        <w:rPr>
          <w:rFonts w:ascii="Arial" w:hAnsi="Arial" w:cs="Arial"/>
          <w:b/>
          <w:bCs/>
        </w:rPr>
        <w:t>.4   Análisis de componentes principales</w:t>
      </w:r>
    </w:p>
    <w:p w:rsidR="00000000" w:rsidRDefault="000E1CA1">
      <w:pPr>
        <w:pStyle w:val="Sangradetextonormal"/>
        <w:spacing w:line="480" w:lineRule="auto"/>
        <w:ind w:left="902"/>
      </w:pPr>
      <w:r>
        <w:t xml:space="preserve">En el análisis de componentes principales determinamos los valores propios y la proporción de variación explicada por cada componente, utilizamos los datos originales que va a corresponder a la matriz de covarianza </w:t>
      </w:r>
      <w:r>
        <w:t>y los datos estandarizados a la matriz de correlación, según esto podemos determinar el número de componentes con los que trabajaremos.</w:t>
      </w: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ind w:left="902"/>
      </w:pPr>
      <w:r>
        <w:t>A continuación se presentarán las tablas con sus respectivos datos.</w:t>
      </w: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Sangradetextonormal"/>
      </w:pPr>
    </w:p>
    <w:p w:rsidR="00000000" w:rsidRDefault="000E1CA1">
      <w:pPr>
        <w:pStyle w:val="Encabezado"/>
        <w:tabs>
          <w:tab w:val="clear" w:pos="4252"/>
          <w:tab w:val="clear" w:pos="8504"/>
        </w:tabs>
        <w:ind w:left="902"/>
      </w:pPr>
      <w:r>
        <w:rPr>
          <w:noProof/>
          <w:sz w:val="20"/>
        </w:rPr>
        <w:pict>
          <v:rect id="_x0000_s1149" style="position:absolute;left:0;text-align:left;margin-left:45pt;margin-top:9pt;width:369pt;height:306pt;z-index:251715072"/>
        </w:pict>
      </w:r>
    </w:p>
    <w:p w:rsidR="00000000" w:rsidRDefault="000E1CA1">
      <w:pPr>
        <w:pStyle w:val="Encabezado"/>
        <w:tabs>
          <w:tab w:val="clear" w:pos="4252"/>
          <w:tab w:val="clear" w:pos="8504"/>
        </w:tabs>
        <w:ind w:left="902"/>
      </w:pPr>
      <w:r>
        <w:rPr>
          <w:noProof/>
          <w:sz w:val="20"/>
        </w:rPr>
        <w:pict>
          <v:shape id="_x0000_s1151" type="#_x0000_t202" style="position:absolute;left:0;text-align:left;margin-left:54pt;margin-top:8.4pt;width:351pt;height:283.8pt;z-index:251717120" strokecolor="white">
            <v:textbox style="mso-next-textbox:#_x0000_s1151">
              <w:txbxContent>
                <w:p w:rsidR="00000000" w:rsidRDefault="000E1CA1">
                  <w:pPr>
                    <w:pStyle w:val="Ttulo3"/>
                    <w:jc w:val="center"/>
                    <w:rPr>
                      <w:rFonts w:ascii="Arial" w:hAnsi="Arial" w:cs="Arial"/>
                    </w:rPr>
                  </w:pPr>
                  <w:r>
                    <w:rPr>
                      <w:rFonts w:ascii="Arial" w:hAnsi="Arial" w:cs="Arial"/>
                    </w:rPr>
                    <w:t>Tabla XXXIX</w:t>
                  </w:r>
                </w:p>
                <w:p w:rsidR="00000000" w:rsidRDefault="000E1CA1">
                  <w:pPr>
                    <w:jc w:val="center"/>
                    <w:rPr>
                      <w:rFonts w:ascii="Arial" w:hAnsi="Arial" w:cs="Arial"/>
                      <w:b/>
                      <w:bCs/>
                    </w:rPr>
                  </w:pPr>
                  <w:r>
                    <w:rPr>
                      <w:rFonts w:ascii="Arial" w:hAnsi="Arial" w:cs="Arial"/>
                      <w:b/>
                      <w:bCs/>
                    </w:rPr>
                    <w:t>Matriz de covarianza</w:t>
                  </w:r>
                </w:p>
                <w:p w:rsidR="00000000" w:rsidRDefault="000E1CA1">
                  <w:pPr>
                    <w:jc w:val="center"/>
                    <w:rPr>
                      <w:rFonts w:ascii="Arial" w:hAnsi="Arial" w:cs="Arial"/>
                      <w:b/>
                      <w:bCs/>
                    </w:rPr>
                  </w:pPr>
                  <w:r>
                    <w:rPr>
                      <w:rFonts w:ascii="Arial" w:hAnsi="Arial" w:cs="Arial"/>
                      <w:b/>
                      <w:bCs/>
                    </w:rPr>
                    <w:t>Porcentaje de explicación en las componentes principales</w:t>
                  </w:r>
                </w:p>
                <w:p w:rsidR="00000000" w:rsidRDefault="000E1CA1">
                  <w:pPr>
                    <w:jc w:val="both"/>
                    <w:rPr>
                      <w:rFonts w:ascii="Arial" w:hAnsi="Arial" w:cs="Arial"/>
                      <w:b/>
                      <w:bCs/>
                    </w:rPr>
                  </w:pPr>
                </w:p>
                <w:p w:rsidR="00000000" w:rsidRDefault="000E1CA1">
                  <w:pPr>
                    <w:jc w:val="both"/>
                    <w:rPr>
                      <w:rFonts w:ascii="Arial" w:hAnsi="Arial" w:cs="Arial"/>
                      <w:b/>
                      <w:bCs/>
                    </w:rPr>
                  </w:pPr>
                  <w:r>
                    <w:rPr>
                      <w:rFonts w:ascii="Arial" w:hAnsi="Arial" w:cs="Arial"/>
                      <w:b/>
                      <w:bCs/>
                    </w:rPr>
                    <w:tab/>
                  </w:r>
                </w:p>
                <w:tbl>
                  <w:tblPr>
                    <w:tblW w:w="0" w:type="auto"/>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8"/>
                    <w:gridCol w:w="1318"/>
                    <w:gridCol w:w="1541"/>
                    <w:gridCol w:w="1430"/>
                  </w:tblGrid>
                  <w:tr w:rsidR="00000000">
                    <w:tblPrEx>
                      <w:tblCellMar>
                        <w:top w:w="0" w:type="dxa"/>
                        <w:bottom w:w="0" w:type="dxa"/>
                      </w:tblCellMar>
                    </w:tblPrEx>
                    <w:tc>
                      <w:tcPr>
                        <w:tcW w:w="0" w:type="auto"/>
                      </w:tcPr>
                      <w:p w:rsidR="00000000" w:rsidRDefault="000E1CA1">
                        <w:pPr>
                          <w:jc w:val="both"/>
                          <w:rPr>
                            <w:rFonts w:ascii="Arial" w:hAnsi="Arial" w:cs="Arial"/>
                            <w:b/>
                            <w:bCs/>
                            <w:sz w:val="20"/>
                          </w:rPr>
                        </w:pPr>
                        <w:r>
                          <w:rPr>
                            <w:rFonts w:ascii="Arial" w:hAnsi="Arial" w:cs="Arial"/>
                            <w:b/>
                            <w:bCs/>
                            <w:sz w:val="20"/>
                          </w:rPr>
                          <w:t>No. componentes</w:t>
                        </w:r>
                      </w:p>
                    </w:tc>
                    <w:tc>
                      <w:tcPr>
                        <w:tcW w:w="0" w:type="auto"/>
                      </w:tcPr>
                      <w:p w:rsidR="00000000" w:rsidRDefault="000E1CA1">
                        <w:pPr>
                          <w:jc w:val="both"/>
                          <w:rPr>
                            <w:rFonts w:ascii="Arial" w:hAnsi="Arial" w:cs="Arial"/>
                            <w:b/>
                            <w:bCs/>
                            <w:sz w:val="20"/>
                          </w:rPr>
                        </w:pPr>
                        <w:r>
                          <w:rPr>
                            <w:rFonts w:ascii="Arial" w:hAnsi="Arial" w:cs="Arial"/>
                            <w:b/>
                            <w:bCs/>
                            <w:sz w:val="20"/>
                          </w:rPr>
                          <w:t>Valor propio</w:t>
                        </w:r>
                      </w:p>
                    </w:tc>
                    <w:tc>
                      <w:tcPr>
                        <w:tcW w:w="0" w:type="auto"/>
                      </w:tcPr>
                      <w:p w:rsidR="00000000" w:rsidRDefault="000E1CA1">
                        <w:pPr>
                          <w:jc w:val="both"/>
                          <w:rPr>
                            <w:rFonts w:ascii="Arial" w:hAnsi="Arial" w:cs="Arial"/>
                            <w:b/>
                            <w:bCs/>
                            <w:sz w:val="20"/>
                          </w:rPr>
                        </w:pPr>
                        <w:r>
                          <w:rPr>
                            <w:rFonts w:ascii="Arial" w:hAnsi="Arial" w:cs="Arial"/>
                            <w:b/>
                            <w:bCs/>
                            <w:sz w:val="20"/>
                          </w:rPr>
                          <w:t>% de variación</w:t>
                        </w:r>
                      </w:p>
                    </w:tc>
                    <w:tc>
                      <w:tcPr>
                        <w:tcW w:w="0" w:type="auto"/>
                      </w:tcPr>
                      <w:p w:rsidR="00000000" w:rsidRDefault="000E1CA1">
                        <w:pPr>
                          <w:jc w:val="both"/>
                          <w:rPr>
                            <w:rFonts w:ascii="Arial" w:hAnsi="Arial" w:cs="Arial"/>
                            <w:b/>
                            <w:bCs/>
                            <w:sz w:val="20"/>
                          </w:rPr>
                        </w:pPr>
                        <w:r>
                          <w:rPr>
                            <w:rFonts w:ascii="Arial" w:hAnsi="Arial" w:cs="Arial"/>
                            <w:b/>
                            <w:bCs/>
                            <w:sz w:val="20"/>
                          </w:rPr>
                          <w:t>% acumulado</w:t>
                        </w:r>
                      </w:p>
                    </w:tc>
                  </w:tr>
                  <w:tr w:rsidR="00000000">
                    <w:tblPrEx>
                      <w:tblCellMar>
                        <w:top w:w="0" w:type="dxa"/>
                        <w:bottom w:w="0" w:type="dxa"/>
                      </w:tblCellMar>
                    </w:tblPrEx>
                    <w:tc>
                      <w:tcPr>
                        <w:tcW w:w="0" w:type="auto"/>
                      </w:tcPr>
                      <w:p w:rsidR="00000000" w:rsidRDefault="000E1CA1">
                        <w:pPr>
                          <w:jc w:val="right"/>
                          <w:rPr>
                            <w:rFonts w:ascii="Arial" w:hAnsi="Arial" w:cs="Arial"/>
                            <w:b/>
                            <w:bCs/>
                          </w:rPr>
                        </w:pPr>
                        <w:r>
                          <w:rPr>
                            <w:rFonts w:ascii="Arial" w:hAnsi="Arial" w:cs="Arial"/>
                            <w:b/>
                            <w:bCs/>
                          </w:rPr>
                          <w:t>1</w:t>
                        </w:r>
                      </w:p>
                    </w:tc>
                    <w:tc>
                      <w:tcPr>
                        <w:tcW w:w="0" w:type="auto"/>
                      </w:tcPr>
                      <w:p w:rsidR="00000000" w:rsidRDefault="000E1CA1">
                        <w:pPr>
                          <w:jc w:val="right"/>
                          <w:rPr>
                            <w:rFonts w:ascii="Arial" w:hAnsi="Arial" w:cs="Arial"/>
                            <w:b/>
                            <w:bCs/>
                          </w:rPr>
                        </w:pPr>
                        <w:r>
                          <w:rPr>
                            <w:rFonts w:ascii="Arial" w:hAnsi="Arial" w:cs="Arial"/>
                            <w:b/>
                            <w:bCs/>
                          </w:rPr>
                          <w:t>28184717</w:t>
                        </w:r>
                      </w:p>
                    </w:tc>
                    <w:tc>
                      <w:tcPr>
                        <w:tcW w:w="0" w:type="auto"/>
                      </w:tcPr>
                      <w:p w:rsidR="00000000" w:rsidRDefault="000E1CA1">
                        <w:pPr>
                          <w:jc w:val="right"/>
                          <w:rPr>
                            <w:rFonts w:ascii="Arial" w:hAnsi="Arial" w:cs="Arial"/>
                            <w:b/>
                            <w:bCs/>
                          </w:rPr>
                        </w:pPr>
                        <w:r>
                          <w:rPr>
                            <w:rFonts w:ascii="Arial" w:hAnsi="Arial" w:cs="Arial"/>
                            <w:b/>
                            <w:bCs/>
                          </w:rPr>
                          <w:t>87.156</w:t>
                        </w:r>
                      </w:p>
                    </w:tc>
                    <w:tc>
                      <w:tcPr>
                        <w:tcW w:w="0" w:type="auto"/>
                      </w:tcPr>
                      <w:p w:rsidR="00000000" w:rsidRDefault="000E1CA1">
                        <w:pPr>
                          <w:jc w:val="right"/>
                          <w:rPr>
                            <w:rFonts w:ascii="Arial" w:hAnsi="Arial" w:cs="Arial"/>
                            <w:b/>
                            <w:bCs/>
                          </w:rPr>
                        </w:pPr>
                        <w:r>
                          <w:rPr>
                            <w:rFonts w:ascii="Arial" w:hAnsi="Arial" w:cs="Arial"/>
                            <w:b/>
                            <w:bCs/>
                          </w:rPr>
                          <w:t>87.156</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2</w:t>
                        </w:r>
                      </w:p>
                    </w:tc>
                    <w:tc>
                      <w:tcPr>
                        <w:tcW w:w="0" w:type="auto"/>
                      </w:tcPr>
                      <w:p w:rsidR="00000000" w:rsidRDefault="000E1CA1">
                        <w:pPr>
                          <w:jc w:val="right"/>
                          <w:rPr>
                            <w:rFonts w:ascii="Arial" w:hAnsi="Arial" w:cs="Arial"/>
                          </w:rPr>
                        </w:pPr>
                        <w:r>
                          <w:rPr>
                            <w:rFonts w:ascii="Arial" w:hAnsi="Arial" w:cs="Arial"/>
                          </w:rPr>
                          <w:t>24</w:t>
                        </w:r>
                        <w:r>
                          <w:rPr>
                            <w:rFonts w:ascii="Arial" w:hAnsi="Arial" w:cs="Arial"/>
                          </w:rPr>
                          <w:t>44724.7</w:t>
                        </w:r>
                      </w:p>
                    </w:tc>
                    <w:tc>
                      <w:tcPr>
                        <w:tcW w:w="0" w:type="auto"/>
                      </w:tcPr>
                      <w:p w:rsidR="00000000" w:rsidRDefault="000E1CA1">
                        <w:pPr>
                          <w:jc w:val="right"/>
                          <w:rPr>
                            <w:rFonts w:ascii="Arial" w:hAnsi="Arial" w:cs="Arial"/>
                          </w:rPr>
                        </w:pPr>
                        <w:r>
                          <w:rPr>
                            <w:rFonts w:ascii="Arial" w:hAnsi="Arial" w:cs="Arial"/>
                          </w:rPr>
                          <w:t>7.560</w:t>
                        </w:r>
                      </w:p>
                    </w:tc>
                    <w:tc>
                      <w:tcPr>
                        <w:tcW w:w="0" w:type="auto"/>
                      </w:tcPr>
                      <w:p w:rsidR="00000000" w:rsidRDefault="000E1CA1">
                        <w:pPr>
                          <w:jc w:val="right"/>
                          <w:rPr>
                            <w:rFonts w:ascii="Arial" w:hAnsi="Arial" w:cs="Arial"/>
                          </w:rPr>
                        </w:pPr>
                        <w:r>
                          <w:rPr>
                            <w:rFonts w:ascii="Arial" w:hAnsi="Arial" w:cs="Arial"/>
                          </w:rPr>
                          <w:t>94.715</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3</w:t>
                        </w:r>
                      </w:p>
                    </w:tc>
                    <w:tc>
                      <w:tcPr>
                        <w:tcW w:w="0" w:type="auto"/>
                      </w:tcPr>
                      <w:p w:rsidR="00000000" w:rsidRDefault="000E1CA1">
                        <w:pPr>
                          <w:jc w:val="right"/>
                          <w:rPr>
                            <w:rFonts w:ascii="Arial" w:hAnsi="Arial" w:cs="Arial"/>
                          </w:rPr>
                        </w:pPr>
                        <w:r>
                          <w:rPr>
                            <w:rFonts w:ascii="Arial" w:hAnsi="Arial" w:cs="Arial"/>
                          </w:rPr>
                          <w:t>1331047.5</w:t>
                        </w:r>
                      </w:p>
                    </w:tc>
                    <w:tc>
                      <w:tcPr>
                        <w:tcW w:w="0" w:type="auto"/>
                      </w:tcPr>
                      <w:p w:rsidR="00000000" w:rsidRDefault="000E1CA1">
                        <w:pPr>
                          <w:jc w:val="right"/>
                          <w:rPr>
                            <w:rFonts w:ascii="Arial" w:hAnsi="Arial" w:cs="Arial"/>
                          </w:rPr>
                        </w:pPr>
                        <w:r>
                          <w:rPr>
                            <w:rFonts w:ascii="Arial" w:hAnsi="Arial" w:cs="Arial"/>
                          </w:rPr>
                          <w:t>4.116</w:t>
                        </w:r>
                      </w:p>
                    </w:tc>
                    <w:tc>
                      <w:tcPr>
                        <w:tcW w:w="0" w:type="auto"/>
                      </w:tcPr>
                      <w:p w:rsidR="00000000" w:rsidRDefault="000E1CA1">
                        <w:pPr>
                          <w:jc w:val="right"/>
                          <w:rPr>
                            <w:rFonts w:ascii="Arial" w:hAnsi="Arial" w:cs="Arial"/>
                          </w:rPr>
                        </w:pPr>
                        <w:r>
                          <w:rPr>
                            <w:rFonts w:ascii="Arial" w:hAnsi="Arial" w:cs="Arial"/>
                          </w:rPr>
                          <w:t>98.831</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4</w:t>
                        </w:r>
                      </w:p>
                    </w:tc>
                    <w:tc>
                      <w:tcPr>
                        <w:tcW w:w="0" w:type="auto"/>
                      </w:tcPr>
                      <w:p w:rsidR="00000000" w:rsidRDefault="000E1CA1">
                        <w:pPr>
                          <w:jc w:val="right"/>
                          <w:rPr>
                            <w:rFonts w:ascii="Arial" w:hAnsi="Arial" w:cs="Arial"/>
                          </w:rPr>
                        </w:pPr>
                        <w:r>
                          <w:rPr>
                            <w:rFonts w:ascii="Arial" w:hAnsi="Arial" w:cs="Arial"/>
                          </w:rPr>
                          <w:t>215338.99</w:t>
                        </w:r>
                      </w:p>
                    </w:tc>
                    <w:tc>
                      <w:tcPr>
                        <w:tcW w:w="0" w:type="auto"/>
                      </w:tcPr>
                      <w:p w:rsidR="00000000" w:rsidRDefault="000E1CA1">
                        <w:pPr>
                          <w:jc w:val="right"/>
                          <w:rPr>
                            <w:rFonts w:ascii="Arial" w:hAnsi="Arial" w:cs="Arial"/>
                          </w:rPr>
                        </w:pPr>
                        <w:r>
                          <w:rPr>
                            <w:rFonts w:ascii="Arial" w:hAnsi="Arial" w:cs="Arial"/>
                          </w:rPr>
                          <w:t>0.666</w:t>
                        </w:r>
                      </w:p>
                    </w:tc>
                    <w:tc>
                      <w:tcPr>
                        <w:tcW w:w="0" w:type="auto"/>
                      </w:tcPr>
                      <w:p w:rsidR="00000000" w:rsidRDefault="000E1CA1">
                        <w:pPr>
                          <w:jc w:val="right"/>
                          <w:rPr>
                            <w:rFonts w:ascii="Arial" w:hAnsi="Arial" w:cs="Arial"/>
                          </w:rPr>
                        </w:pPr>
                        <w:r>
                          <w:rPr>
                            <w:rFonts w:ascii="Arial" w:hAnsi="Arial" w:cs="Arial"/>
                          </w:rPr>
                          <w:t>99.497</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5</w:t>
                        </w:r>
                      </w:p>
                    </w:tc>
                    <w:tc>
                      <w:tcPr>
                        <w:tcW w:w="0" w:type="auto"/>
                      </w:tcPr>
                      <w:p w:rsidR="00000000" w:rsidRDefault="000E1CA1">
                        <w:pPr>
                          <w:jc w:val="right"/>
                          <w:rPr>
                            <w:rFonts w:ascii="Arial" w:hAnsi="Arial" w:cs="Arial"/>
                          </w:rPr>
                        </w:pPr>
                        <w:r>
                          <w:rPr>
                            <w:rFonts w:ascii="Arial" w:hAnsi="Arial" w:cs="Arial"/>
                          </w:rPr>
                          <w:t>85245.186</w:t>
                        </w:r>
                      </w:p>
                    </w:tc>
                    <w:tc>
                      <w:tcPr>
                        <w:tcW w:w="0" w:type="auto"/>
                      </w:tcPr>
                      <w:p w:rsidR="00000000" w:rsidRDefault="000E1CA1">
                        <w:pPr>
                          <w:jc w:val="right"/>
                          <w:rPr>
                            <w:rFonts w:ascii="Arial" w:hAnsi="Arial" w:cs="Arial"/>
                          </w:rPr>
                        </w:pPr>
                        <w:r>
                          <w:rPr>
                            <w:rFonts w:ascii="Arial" w:hAnsi="Arial" w:cs="Arial"/>
                          </w:rPr>
                          <w:t>0.264</w:t>
                        </w:r>
                      </w:p>
                    </w:tc>
                    <w:tc>
                      <w:tcPr>
                        <w:tcW w:w="0" w:type="auto"/>
                      </w:tcPr>
                      <w:p w:rsidR="00000000" w:rsidRDefault="000E1CA1">
                        <w:pPr>
                          <w:jc w:val="right"/>
                          <w:rPr>
                            <w:rFonts w:ascii="Arial" w:hAnsi="Arial" w:cs="Arial"/>
                          </w:rPr>
                        </w:pPr>
                        <w:r>
                          <w:rPr>
                            <w:rFonts w:ascii="Arial" w:hAnsi="Arial" w:cs="Arial"/>
                          </w:rPr>
                          <w:t>99.761</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6</w:t>
                        </w:r>
                      </w:p>
                    </w:tc>
                    <w:tc>
                      <w:tcPr>
                        <w:tcW w:w="0" w:type="auto"/>
                      </w:tcPr>
                      <w:p w:rsidR="00000000" w:rsidRDefault="000E1CA1">
                        <w:pPr>
                          <w:jc w:val="right"/>
                          <w:rPr>
                            <w:rFonts w:ascii="Arial" w:hAnsi="Arial" w:cs="Arial"/>
                          </w:rPr>
                        </w:pPr>
                        <w:r>
                          <w:rPr>
                            <w:rFonts w:ascii="Arial" w:hAnsi="Arial" w:cs="Arial"/>
                          </w:rPr>
                          <w:t>62849.897</w:t>
                        </w:r>
                      </w:p>
                    </w:tc>
                    <w:tc>
                      <w:tcPr>
                        <w:tcW w:w="0" w:type="auto"/>
                      </w:tcPr>
                      <w:p w:rsidR="00000000" w:rsidRDefault="000E1CA1">
                        <w:pPr>
                          <w:jc w:val="right"/>
                          <w:rPr>
                            <w:rFonts w:ascii="Arial" w:hAnsi="Arial" w:cs="Arial"/>
                          </w:rPr>
                        </w:pPr>
                        <w:r>
                          <w:rPr>
                            <w:rFonts w:ascii="Arial" w:hAnsi="Arial" w:cs="Arial"/>
                          </w:rPr>
                          <w:t>0.194</w:t>
                        </w:r>
                      </w:p>
                    </w:tc>
                    <w:tc>
                      <w:tcPr>
                        <w:tcW w:w="0" w:type="auto"/>
                      </w:tcPr>
                      <w:p w:rsidR="00000000" w:rsidRDefault="000E1CA1">
                        <w:pPr>
                          <w:jc w:val="right"/>
                          <w:rPr>
                            <w:rFonts w:ascii="Arial" w:hAnsi="Arial" w:cs="Arial"/>
                          </w:rPr>
                        </w:pPr>
                        <w:r>
                          <w:rPr>
                            <w:rFonts w:ascii="Arial" w:hAnsi="Arial" w:cs="Arial"/>
                          </w:rPr>
                          <w:t>99.955</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7</w:t>
                        </w:r>
                      </w:p>
                    </w:tc>
                    <w:tc>
                      <w:tcPr>
                        <w:tcW w:w="0" w:type="auto"/>
                      </w:tcPr>
                      <w:p w:rsidR="00000000" w:rsidRDefault="000E1CA1">
                        <w:pPr>
                          <w:jc w:val="right"/>
                          <w:rPr>
                            <w:rFonts w:ascii="Arial" w:hAnsi="Arial" w:cs="Arial"/>
                          </w:rPr>
                        </w:pPr>
                        <w:r>
                          <w:rPr>
                            <w:rFonts w:ascii="Arial" w:hAnsi="Arial" w:cs="Arial"/>
                          </w:rPr>
                          <w:t>14256.105</w:t>
                        </w:r>
                      </w:p>
                    </w:tc>
                    <w:tc>
                      <w:tcPr>
                        <w:tcW w:w="0" w:type="auto"/>
                      </w:tcPr>
                      <w:p w:rsidR="00000000" w:rsidRDefault="000E1CA1">
                        <w:pPr>
                          <w:jc w:val="right"/>
                          <w:rPr>
                            <w:rFonts w:ascii="Arial" w:hAnsi="Arial" w:cs="Arial"/>
                          </w:rPr>
                        </w:pPr>
                        <w:r>
                          <w:rPr>
                            <w:rFonts w:ascii="Arial" w:hAnsi="Arial" w:cs="Arial"/>
                          </w:rPr>
                          <w:t>0.044</w:t>
                        </w:r>
                      </w:p>
                    </w:tc>
                    <w:tc>
                      <w:tcPr>
                        <w:tcW w:w="0" w:type="auto"/>
                      </w:tcPr>
                      <w:p w:rsidR="00000000" w:rsidRDefault="000E1CA1">
                        <w:pPr>
                          <w:jc w:val="right"/>
                          <w:rPr>
                            <w:rFonts w:ascii="Arial" w:hAnsi="Arial" w:cs="Arial"/>
                          </w:rPr>
                        </w:pPr>
                        <w:r>
                          <w:rPr>
                            <w:rFonts w:ascii="Arial" w:hAnsi="Arial" w:cs="Arial"/>
                          </w:rPr>
                          <w:t>99.999</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8</w:t>
                        </w:r>
                      </w:p>
                    </w:tc>
                    <w:tc>
                      <w:tcPr>
                        <w:tcW w:w="0" w:type="auto"/>
                      </w:tcPr>
                      <w:p w:rsidR="00000000" w:rsidRDefault="000E1CA1">
                        <w:pPr>
                          <w:jc w:val="right"/>
                          <w:rPr>
                            <w:rFonts w:ascii="Arial" w:hAnsi="Arial" w:cs="Arial"/>
                          </w:rPr>
                        </w:pPr>
                        <w:r>
                          <w:rPr>
                            <w:rFonts w:ascii="Arial" w:hAnsi="Arial" w:cs="Arial"/>
                          </w:rPr>
                          <w:t>233.940</w:t>
                        </w:r>
                      </w:p>
                    </w:tc>
                    <w:tc>
                      <w:tcPr>
                        <w:tcW w:w="0" w:type="auto"/>
                      </w:tcPr>
                      <w:p w:rsidR="00000000" w:rsidRDefault="000E1CA1">
                        <w:pPr>
                          <w:jc w:val="right"/>
                          <w:rPr>
                            <w:rFonts w:ascii="Arial" w:hAnsi="Arial" w:cs="Arial"/>
                          </w:rPr>
                        </w:pPr>
                        <w:r>
                          <w:rPr>
                            <w:rFonts w:ascii="Arial" w:hAnsi="Arial" w:cs="Arial"/>
                          </w:rPr>
                          <w:t>0.0007</w:t>
                        </w:r>
                      </w:p>
                    </w:tc>
                    <w:tc>
                      <w:tcPr>
                        <w:tcW w:w="0" w:type="auto"/>
                      </w:tcPr>
                      <w:p w:rsidR="00000000" w:rsidRDefault="000E1CA1">
                        <w:pPr>
                          <w:jc w:val="right"/>
                          <w:rPr>
                            <w:rFonts w:ascii="Arial" w:hAnsi="Arial" w:cs="Arial"/>
                          </w:rPr>
                        </w:pPr>
                        <w:r>
                          <w:rPr>
                            <w:rFonts w:ascii="Arial" w:hAnsi="Arial" w:cs="Arial"/>
                          </w:rPr>
                          <w:t>100</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9</w:t>
                        </w:r>
                      </w:p>
                    </w:tc>
                    <w:tc>
                      <w:tcPr>
                        <w:tcW w:w="0" w:type="auto"/>
                      </w:tcPr>
                      <w:p w:rsidR="00000000" w:rsidRDefault="000E1CA1">
                        <w:pPr>
                          <w:jc w:val="right"/>
                          <w:rPr>
                            <w:rFonts w:ascii="Arial" w:hAnsi="Arial" w:cs="Arial"/>
                          </w:rPr>
                        </w:pPr>
                        <w:r>
                          <w:rPr>
                            <w:rFonts w:ascii="Arial" w:hAnsi="Arial" w:cs="Arial"/>
                          </w:rPr>
                          <w:t>0.01620</w:t>
                        </w:r>
                      </w:p>
                    </w:tc>
                    <w:tc>
                      <w:tcPr>
                        <w:tcW w:w="0" w:type="auto"/>
                      </w:tcPr>
                      <w:p w:rsidR="00000000" w:rsidRDefault="000E1CA1">
                        <w:pPr>
                          <w:jc w:val="right"/>
                          <w:rPr>
                            <w:rFonts w:ascii="Arial" w:hAnsi="Arial" w:cs="Arial"/>
                          </w:rPr>
                        </w:pPr>
                        <w:r>
                          <w:rPr>
                            <w:rFonts w:ascii="Arial" w:hAnsi="Arial" w:cs="Arial"/>
                          </w:rPr>
                          <w:t>5.009E-08</w:t>
                        </w:r>
                      </w:p>
                    </w:tc>
                    <w:tc>
                      <w:tcPr>
                        <w:tcW w:w="0" w:type="auto"/>
                      </w:tcPr>
                      <w:p w:rsidR="00000000" w:rsidRDefault="000E1CA1">
                        <w:pPr>
                          <w:jc w:val="right"/>
                          <w:rPr>
                            <w:rFonts w:ascii="Arial" w:hAnsi="Arial" w:cs="Arial"/>
                          </w:rPr>
                        </w:pPr>
                        <w:r>
                          <w:rPr>
                            <w:rFonts w:ascii="Arial" w:hAnsi="Arial" w:cs="Arial"/>
                          </w:rPr>
                          <w:t>100</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10</w:t>
                        </w:r>
                      </w:p>
                    </w:tc>
                    <w:tc>
                      <w:tcPr>
                        <w:tcW w:w="0" w:type="auto"/>
                      </w:tcPr>
                      <w:p w:rsidR="00000000" w:rsidRDefault="000E1CA1">
                        <w:pPr>
                          <w:jc w:val="right"/>
                          <w:rPr>
                            <w:rFonts w:ascii="Arial" w:hAnsi="Arial" w:cs="Arial"/>
                          </w:rPr>
                        </w:pPr>
                        <w:r>
                          <w:rPr>
                            <w:rFonts w:ascii="Arial" w:hAnsi="Arial" w:cs="Arial"/>
                          </w:rPr>
                          <w:t>0.00093</w:t>
                        </w:r>
                      </w:p>
                    </w:tc>
                    <w:tc>
                      <w:tcPr>
                        <w:tcW w:w="0" w:type="auto"/>
                      </w:tcPr>
                      <w:p w:rsidR="00000000" w:rsidRDefault="000E1CA1">
                        <w:pPr>
                          <w:jc w:val="right"/>
                          <w:rPr>
                            <w:rFonts w:ascii="Arial" w:hAnsi="Arial" w:cs="Arial"/>
                          </w:rPr>
                        </w:pPr>
                        <w:r>
                          <w:rPr>
                            <w:rFonts w:ascii="Arial" w:hAnsi="Arial" w:cs="Arial"/>
                          </w:rPr>
                          <w:t>2.888E-09</w:t>
                        </w:r>
                      </w:p>
                    </w:tc>
                    <w:tc>
                      <w:tcPr>
                        <w:tcW w:w="0" w:type="auto"/>
                      </w:tcPr>
                      <w:p w:rsidR="00000000" w:rsidRDefault="000E1CA1">
                        <w:pPr>
                          <w:jc w:val="right"/>
                          <w:rPr>
                            <w:rFonts w:ascii="Arial" w:hAnsi="Arial" w:cs="Arial"/>
                          </w:rPr>
                        </w:pPr>
                        <w:r>
                          <w:rPr>
                            <w:rFonts w:ascii="Arial" w:hAnsi="Arial" w:cs="Arial"/>
                          </w:rPr>
                          <w:t>100</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11</w:t>
                        </w:r>
                      </w:p>
                    </w:tc>
                    <w:tc>
                      <w:tcPr>
                        <w:tcW w:w="0" w:type="auto"/>
                      </w:tcPr>
                      <w:p w:rsidR="00000000" w:rsidRDefault="000E1CA1">
                        <w:pPr>
                          <w:jc w:val="right"/>
                          <w:rPr>
                            <w:rFonts w:ascii="Arial" w:hAnsi="Arial" w:cs="Arial"/>
                          </w:rPr>
                        </w:pPr>
                        <w:r>
                          <w:rPr>
                            <w:rFonts w:ascii="Arial" w:hAnsi="Arial" w:cs="Arial"/>
                          </w:rPr>
                          <w:t>0.00021</w:t>
                        </w:r>
                      </w:p>
                    </w:tc>
                    <w:tc>
                      <w:tcPr>
                        <w:tcW w:w="0" w:type="auto"/>
                      </w:tcPr>
                      <w:p w:rsidR="00000000" w:rsidRDefault="000E1CA1">
                        <w:pPr>
                          <w:jc w:val="right"/>
                          <w:rPr>
                            <w:rFonts w:ascii="Arial" w:hAnsi="Arial" w:cs="Arial"/>
                          </w:rPr>
                        </w:pPr>
                        <w:r>
                          <w:rPr>
                            <w:rFonts w:ascii="Arial" w:hAnsi="Arial" w:cs="Arial"/>
                          </w:rPr>
                          <w:t>6.536E-10</w:t>
                        </w:r>
                      </w:p>
                    </w:tc>
                    <w:tc>
                      <w:tcPr>
                        <w:tcW w:w="0" w:type="auto"/>
                      </w:tcPr>
                      <w:p w:rsidR="00000000" w:rsidRDefault="000E1CA1">
                        <w:pPr>
                          <w:jc w:val="right"/>
                          <w:rPr>
                            <w:rFonts w:ascii="Arial" w:hAnsi="Arial" w:cs="Arial"/>
                          </w:rPr>
                        </w:pPr>
                        <w:r>
                          <w:rPr>
                            <w:rFonts w:ascii="Arial" w:hAnsi="Arial" w:cs="Arial"/>
                          </w:rPr>
                          <w:t>100</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12</w:t>
                        </w:r>
                      </w:p>
                    </w:tc>
                    <w:tc>
                      <w:tcPr>
                        <w:tcW w:w="0" w:type="auto"/>
                      </w:tcPr>
                      <w:p w:rsidR="00000000" w:rsidRDefault="000E1CA1">
                        <w:pPr>
                          <w:jc w:val="right"/>
                          <w:rPr>
                            <w:rFonts w:ascii="Arial" w:hAnsi="Arial" w:cs="Arial"/>
                          </w:rPr>
                        </w:pPr>
                        <w:r>
                          <w:rPr>
                            <w:rFonts w:ascii="Arial" w:hAnsi="Arial" w:cs="Arial"/>
                          </w:rPr>
                          <w:t>0.</w:t>
                        </w:r>
                        <w:r>
                          <w:rPr>
                            <w:rFonts w:ascii="Arial" w:hAnsi="Arial" w:cs="Arial"/>
                          </w:rPr>
                          <w:t>000005</w:t>
                        </w:r>
                      </w:p>
                    </w:tc>
                    <w:tc>
                      <w:tcPr>
                        <w:tcW w:w="0" w:type="auto"/>
                      </w:tcPr>
                      <w:p w:rsidR="00000000" w:rsidRDefault="000E1CA1">
                        <w:pPr>
                          <w:jc w:val="right"/>
                          <w:rPr>
                            <w:rFonts w:ascii="Arial" w:hAnsi="Arial" w:cs="Arial"/>
                          </w:rPr>
                        </w:pPr>
                        <w:r>
                          <w:rPr>
                            <w:rFonts w:ascii="Arial" w:hAnsi="Arial" w:cs="Arial"/>
                          </w:rPr>
                          <w:t>1.840E-11</w:t>
                        </w:r>
                      </w:p>
                    </w:tc>
                    <w:tc>
                      <w:tcPr>
                        <w:tcW w:w="0" w:type="auto"/>
                      </w:tcPr>
                      <w:p w:rsidR="00000000" w:rsidRDefault="000E1CA1">
                        <w:pPr>
                          <w:jc w:val="right"/>
                          <w:rPr>
                            <w:rFonts w:ascii="Arial" w:hAnsi="Arial" w:cs="Arial"/>
                          </w:rPr>
                        </w:pPr>
                        <w:r>
                          <w:rPr>
                            <w:rFonts w:ascii="Arial" w:hAnsi="Arial" w:cs="Arial"/>
                          </w:rPr>
                          <w:t>100</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13</w:t>
                        </w:r>
                      </w:p>
                    </w:tc>
                    <w:tc>
                      <w:tcPr>
                        <w:tcW w:w="0" w:type="auto"/>
                      </w:tcPr>
                      <w:p w:rsidR="00000000" w:rsidRDefault="000E1CA1">
                        <w:pPr>
                          <w:jc w:val="right"/>
                          <w:rPr>
                            <w:rFonts w:ascii="Arial" w:hAnsi="Arial" w:cs="Arial"/>
                          </w:rPr>
                        </w:pPr>
                        <w:r>
                          <w:rPr>
                            <w:rFonts w:ascii="Arial" w:hAnsi="Arial" w:cs="Arial"/>
                          </w:rPr>
                          <w:t>0.0000002</w:t>
                        </w:r>
                      </w:p>
                    </w:tc>
                    <w:tc>
                      <w:tcPr>
                        <w:tcW w:w="0" w:type="auto"/>
                      </w:tcPr>
                      <w:p w:rsidR="00000000" w:rsidRDefault="000E1CA1">
                        <w:pPr>
                          <w:jc w:val="right"/>
                          <w:rPr>
                            <w:rFonts w:ascii="Arial" w:hAnsi="Arial" w:cs="Arial"/>
                          </w:rPr>
                        </w:pPr>
                        <w:r>
                          <w:rPr>
                            <w:rFonts w:ascii="Arial" w:hAnsi="Arial" w:cs="Arial"/>
                          </w:rPr>
                          <w:t>7.861E-13</w:t>
                        </w:r>
                      </w:p>
                    </w:tc>
                    <w:tc>
                      <w:tcPr>
                        <w:tcW w:w="0" w:type="auto"/>
                      </w:tcPr>
                      <w:p w:rsidR="00000000" w:rsidRDefault="000E1CA1">
                        <w:pPr>
                          <w:jc w:val="right"/>
                          <w:rPr>
                            <w:rFonts w:ascii="Arial" w:hAnsi="Arial" w:cs="Arial"/>
                          </w:rPr>
                        </w:pPr>
                        <w:r>
                          <w:rPr>
                            <w:rFonts w:ascii="Arial" w:hAnsi="Arial" w:cs="Arial"/>
                          </w:rPr>
                          <w:t>100</w:t>
                        </w:r>
                      </w:p>
                    </w:tc>
                  </w:tr>
                </w:tbl>
                <w:p w:rsidR="00000000" w:rsidRDefault="000E1CA1"/>
              </w:txbxContent>
            </v:textbox>
          </v:shape>
        </w:pict>
      </w: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En la tabl</w:t>
      </w:r>
      <w:r>
        <w:rPr>
          <w:rFonts w:ascii="Arial" w:hAnsi="Arial" w:cs="Arial"/>
        </w:rPr>
        <w:t>a XXXIX observamos que los primeros valores propios tienen una alta varianza, es por eso que al seleccionar únicamente 1 componente se obtiene un porcentaje de explicación del 87.156%, parecería ser lo más indicado, pero hay que recordar que existen variab</w:t>
      </w:r>
      <w:r>
        <w:rPr>
          <w:rFonts w:ascii="Arial" w:hAnsi="Arial" w:cs="Arial"/>
        </w:rPr>
        <w:t>les que poseen una alta varianza y esto podría influir en la elección  de las componentes.</w:t>
      </w: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r>
        <w:rPr>
          <w:noProof/>
          <w:sz w:val="20"/>
        </w:rPr>
        <w:pict>
          <v:rect id="_x0000_s1150" style="position:absolute;left:0;text-align:left;margin-left:45pt;margin-top:6.5pt;width:369pt;height:308.5pt;z-index:251716096"/>
        </w:pict>
      </w:r>
    </w:p>
    <w:p w:rsidR="00000000" w:rsidRDefault="000E1CA1">
      <w:pPr>
        <w:pStyle w:val="Encabezado"/>
        <w:tabs>
          <w:tab w:val="clear" w:pos="4252"/>
          <w:tab w:val="clear" w:pos="8504"/>
        </w:tabs>
        <w:ind w:left="902"/>
        <w:rPr>
          <w:noProof/>
          <w:sz w:val="20"/>
        </w:rPr>
      </w:pPr>
      <w:r>
        <w:rPr>
          <w:noProof/>
          <w:sz w:val="20"/>
        </w:rPr>
        <w:pict>
          <v:shape id="_x0000_s1152" type="#_x0000_t202" style="position:absolute;left:0;text-align:left;margin-left:54pt;margin-top:5.7pt;width:348pt;height:288.8pt;z-index:251718144" strokecolor="white">
            <v:textbox style="mso-next-textbox:#_x0000_s1152">
              <w:txbxContent>
                <w:p w:rsidR="00000000" w:rsidRDefault="000E1CA1">
                  <w:pPr>
                    <w:pStyle w:val="Ttulo3"/>
                    <w:jc w:val="center"/>
                    <w:rPr>
                      <w:rFonts w:ascii="Arial" w:hAnsi="Arial" w:cs="Arial"/>
                    </w:rPr>
                  </w:pPr>
                  <w:r>
                    <w:rPr>
                      <w:rFonts w:ascii="Arial" w:hAnsi="Arial" w:cs="Arial"/>
                    </w:rPr>
                    <w:t>Tabla XL</w:t>
                  </w:r>
                </w:p>
                <w:p w:rsidR="00000000" w:rsidRDefault="000E1CA1">
                  <w:pPr>
                    <w:jc w:val="center"/>
                    <w:rPr>
                      <w:rFonts w:ascii="Arial" w:hAnsi="Arial" w:cs="Arial"/>
                      <w:b/>
                      <w:bCs/>
                    </w:rPr>
                  </w:pPr>
                  <w:r>
                    <w:rPr>
                      <w:rFonts w:ascii="Arial" w:hAnsi="Arial" w:cs="Arial"/>
                      <w:b/>
                      <w:bCs/>
                    </w:rPr>
                    <w:t>Matriz de correlación</w:t>
                  </w:r>
                </w:p>
                <w:p w:rsidR="00000000" w:rsidRDefault="000E1CA1">
                  <w:pPr>
                    <w:jc w:val="center"/>
                    <w:rPr>
                      <w:rFonts w:ascii="Arial" w:hAnsi="Arial" w:cs="Arial"/>
                      <w:b/>
                      <w:bCs/>
                    </w:rPr>
                  </w:pPr>
                  <w:r>
                    <w:rPr>
                      <w:rFonts w:ascii="Arial" w:hAnsi="Arial" w:cs="Arial"/>
                      <w:b/>
                      <w:bCs/>
                    </w:rPr>
                    <w:t>Porcentaje de explicación en las componentes principales</w:t>
                  </w:r>
                </w:p>
                <w:p w:rsidR="00000000" w:rsidRDefault="000E1CA1">
                  <w:pPr>
                    <w:jc w:val="both"/>
                    <w:rPr>
                      <w:rFonts w:ascii="Arial" w:hAnsi="Arial" w:cs="Arial"/>
                      <w:b/>
                      <w:bCs/>
                    </w:rPr>
                  </w:pPr>
                </w:p>
                <w:p w:rsidR="00000000" w:rsidRDefault="000E1CA1">
                  <w:pPr>
                    <w:jc w:val="both"/>
                    <w:rPr>
                      <w:rFonts w:ascii="Arial" w:hAnsi="Arial" w:cs="Arial"/>
                      <w:b/>
                      <w:bCs/>
                    </w:rPr>
                  </w:pPr>
                </w:p>
                <w:tbl>
                  <w:tblPr>
                    <w:tblW w:w="0" w:type="auto"/>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8"/>
                    <w:gridCol w:w="1318"/>
                    <w:gridCol w:w="1541"/>
                    <w:gridCol w:w="1430"/>
                  </w:tblGrid>
                  <w:tr w:rsidR="00000000">
                    <w:tblPrEx>
                      <w:tblCellMar>
                        <w:top w:w="0" w:type="dxa"/>
                        <w:bottom w:w="0" w:type="dxa"/>
                      </w:tblCellMar>
                    </w:tblPrEx>
                    <w:tc>
                      <w:tcPr>
                        <w:tcW w:w="0" w:type="auto"/>
                      </w:tcPr>
                      <w:p w:rsidR="00000000" w:rsidRDefault="000E1CA1">
                        <w:pPr>
                          <w:jc w:val="center"/>
                          <w:rPr>
                            <w:rFonts w:ascii="Arial" w:hAnsi="Arial" w:cs="Arial"/>
                            <w:b/>
                            <w:bCs/>
                            <w:sz w:val="20"/>
                          </w:rPr>
                        </w:pPr>
                        <w:r>
                          <w:rPr>
                            <w:rFonts w:ascii="Arial" w:hAnsi="Arial" w:cs="Arial"/>
                            <w:b/>
                            <w:bCs/>
                            <w:sz w:val="20"/>
                          </w:rPr>
                          <w:t>No. componentes</w:t>
                        </w:r>
                      </w:p>
                    </w:tc>
                    <w:tc>
                      <w:tcPr>
                        <w:tcW w:w="0" w:type="auto"/>
                      </w:tcPr>
                      <w:p w:rsidR="00000000" w:rsidRDefault="000E1CA1">
                        <w:pPr>
                          <w:jc w:val="center"/>
                          <w:rPr>
                            <w:rFonts w:ascii="Arial" w:hAnsi="Arial" w:cs="Arial"/>
                            <w:b/>
                            <w:bCs/>
                            <w:sz w:val="20"/>
                          </w:rPr>
                        </w:pPr>
                        <w:r>
                          <w:rPr>
                            <w:rFonts w:ascii="Arial" w:hAnsi="Arial" w:cs="Arial"/>
                            <w:b/>
                            <w:bCs/>
                            <w:sz w:val="20"/>
                          </w:rPr>
                          <w:t>Valor propio</w:t>
                        </w:r>
                      </w:p>
                    </w:tc>
                    <w:tc>
                      <w:tcPr>
                        <w:tcW w:w="0" w:type="auto"/>
                      </w:tcPr>
                      <w:p w:rsidR="00000000" w:rsidRDefault="000E1CA1">
                        <w:pPr>
                          <w:jc w:val="center"/>
                          <w:rPr>
                            <w:rFonts w:ascii="Arial" w:hAnsi="Arial" w:cs="Arial"/>
                            <w:b/>
                            <w:bCs/>
                            <w:sz w:val="20"/>
                          </w:rPr>
                        </w:pPr>
                        <w:r>
                          <w:rPr>
                            <w:rFonts w:ascii="Arial" w:hAnsi="Arial" w:cs="Arial"/>
                            <w:b/>
                            <w:bCs/>
                            <w:sz w:val="20"/>
                          </w:rPr>
                          <w:t>% de variación</w:t>
                        </w:r>
                      </w:p>
                    </w:tc>
                    <w:tc>
                      <w:tcPr>
                        <w:tcW w:w="0" w:type="auto"/>
                      </w:tcPr>
                      <w:p w:rsidR="00000000" w:rsidRDefault="000E1CA1">
                        <w:pPr>
                          <w:jc w:val="center"/>
                          <w:rPr>
                            <w:rFonts w:ascii="Arial" w:hAnsi="Arial" w:cs="Arial"/>
                            <w:b/>
                            <w:bCs/>
                            <w:sz w:val="20"/>
                          </w:rPr>
                        </w:pPr>
                        <w:r>
                          <w:rPr>
                            <w:rFonts w:ascii="Arial" w:hAnsi="Arial" w:cs="Arial"/>
                            <w:b/>
                            <w:bCs/>
                            <w:sz w:val="20"/>
                          </w:rPr>
                          <w:t>% acumulado</w:t>
                        </w:r>
                      </w:p>
                    </w:tc>
                  </w:tr>
                  <w:tr w:rsidR="00000000">
                    <w:tblPrEx>
                      <w:tblCellMar>
                        <w:top w:w="0" w:type="dxa"/>
                        <w:bottom w:w="0" w:type="dxa"/>
                      </w:tblCellMar>
                    </w:tblPrEx>
                    <w:tc>
                      <w:tcPr>
                        <w:tcW w:w="0" w:type="auto"/>
                      </w:tcPr>
                      <w:p w:rsidR="00000000" w:rsidRDefault="000E1CA1">
                        <w:pPr>
                          <w:jc w:val="right"/>
                          <w:rPr>
                            <w:rFonts w:ascii="Arial" w:hAnsi="Arial" w:cs="Arial"/>
                            <w:b/>
                            <w:bCs/>
                          </w:rPr>
                        </w:pPr>
                        <w:r>
                          <w:rPr>
                            <w:rFonts w:ascii="Arial" w:hAnsi="Arial" w:cs="Arial"/>
                            <w:b/>
                            <w:bCs/>
                          </w:rPr>
                          <w:t>1</w:t>
                        </w:r>
                      </w:p>
                    </w:tc>
                    <w:tc>
                      <w:tcPr>
                        <w:tcW w:w="0" w:type="auto"/>
                      </w:tcPr>
                      <w:p w:rsidR="00000000" w:rsidRDefault="000E1CA1">
                        <w:pPr>
                          <w:jc w:val="right"/>
                          <w:rPr>
                            <w:rFonts w:ascii="Arial" w:hAnsi="Arial" w:cs="Arial"/>
                            <w:b/>
                            <w:bCs/>
                          </w:rPr>
                        </w:pPr>
                        <w:r>
                          <w:rPr>
                            <w:rFonts w:ascii="Arial" w:hAnsi="Arial" w:cs="Arial"/>
                            <w:b/>
                            <w:bCs/>
                          </w:rPr>
                          <w:t>7.096</w:t>
                        </w:r>
                      </w:p>
                    </w:tc>
                    <w:tc>
                      <w:tcPr>
                        <w:tcW w:w="0" w:type="auto"/>
                      </w:tcPr>
                      <w:p w:rsidR="00000000" w:rsidRDefault="000E1CA1">
                        <w:pPr>
                          <w:jc w:val="right"/>
                          <w:rPr>
                            <w:rFonts w:ascii="Arial" w:hAnsi="Arial" w:cs="Arial"/>
                            <w:b/>
                            <w:bCs/>
                          </w:rPr>
                        </w:pPr>
                        <w:r>
                          <w:rPr>
                            <w:rFonts w:ascii="Arial" w:hAnsi="Arial" w:cs="Arial"/>
                            <w:b/>
                            <w:bCs/>
                          </w:rPr>
                          <w:t>54.581</w:t>
                        </w:r>
                      </w:p>
                    </w:tc>
                    <w:tc>
                      <w:tcPr>
                        <w:tcW w:w="0" w:type="auto"/>
                      </w:tcPr>
                      <w:p w:rsidR="00000000" w:rsidRDefault="000E1CA1">
                        <w:pPr>
                          <w:jc w:val="right"/>
                          <w:rPr>
                            <w:rFonts w:ascii="Arial" w:hAnsi="Arial" w:cs="Arial"/>
                            <w:b/>
                            <w:bCs/>
                          </w:rPr>
                        </w:pPr>
                        <w:r>
                          <w:rPr>
                            <w:rFonts w:ascii="Arial" w:hAnsi="Arial" w:cs="Arial"/>
                            <w:b/>
                            <w:bCs/>
                          </w:rPr>
                          <w:t>54.581</w:t>
                        </w:r>
                      </w:p>
                    </w:tc>
                  </w:tr>
                  <w:tr w:rsidR="00000000">
                    <w:tblPrEx>
                      <w:tblCellMar>
                        <w:top w:w="0" w:type="dxa"/>
                        <w:bottom w:w="0" w:type="dxa"/>
                      </w:tblCellMar>
                    </w:tblPrEx>
                    <w:tc>
                      <w:tcPr>
                        <w:tcW w:w="0" w:type="auto"/>
                      </w:tcPr>
                      <w:p w:rsidR="00000000" w:rsidRDefault="000E1CA1">
                        <w:pPr>
                          <w:jc w:val="right"/>
                          <w:rPr>
                            <w:rFonts w:ascii="Arial" w:hAnsi="Arial" w:cs="Arial"/>
                            <w:b/>
                            <w:bCs/>
                          </w:rPr>
                        </w:pPr>
                        <w:r>
                          <w:rPr>
                            <w:rFonts w:ascii="Arial" w:hAnsi="Arial" w:cs="Arial"/>
                            <w:b/>
                            <w:bCs/>
                          </w:rPr>
                          <w:t>2</w:t>
                        </w:r>
                      </w:p>
                    </w:tc>
                    <w:tc>
                      <w:tcPr>
                        <w:tcW w:w="0" w:type="auto"/>
                      </w:tcPr>
                      <w:p w:rsidR="00000000" w:rsidRDefault="000E1CA1">
                        <w:pPr>
                          <w:jc w:val="right"/>
                          <w:rPr>
                            <w:rFonts w:ascii="Arial" w:hAnsi="Arial" w:cs="Arial"/>
                            <w:b/>
                            <w:bCs/>
                          </w:rPr>
                        </w:pPr>
                        <w:r>
                          <w:rPr>
                            <w:rFonts w:ascii="Arial" w:hAnsi="Arial" w:cs="Arial"/>
                            <w:b/>
                            <w:bCs/>
                          </w:rPr>
                          <w:t>3.328</w:t>
                        </w:r>
                      </w:p>
                    </w:tc>
                    <w:tc>
                      <w:tcPr>
                        <w:tcW w:w="0" w:type="auto"/>
                      </w:tcPr>
                      <w:p w:rsidR="00000000" w:rsidRDefault="000E1CA1">
                        <w:pPr>
                          <w:jc w:val="right"/>
                          <w:rPr>
                            <w:rFonts w:ascii="Arial" w:hAnsi="Arial" w:cs="Arial"/>
                            <w:b/>
                            <w:bCs/>
                          </w:rPr>
                        </w:pPr>
                        <w:r>
                          <w:rPr>
                            <w:rFonts w:ascii="Arial" w:hAnsi="Arial" w:cs="Arial"/>
                            <w:b/>
                            <w:bCs/>
                          </w:rPr>
                          <w:t>25.597</w:t>
                        </w:r>
                      </w:p>
                    </w:tc>
                    <w:tc>
                      <w:tcPr>
                        <w:tcW w:w="0" w:type="auto"/>
                      </w:tcPr>
                      <w:p w:rsidR="00000000" w:rsidRDefault="000E1CA1">
                        <w:pPr>
                          <w:jc w:val="right"/>
                          <w:rPr>
                            <w:rFonts w:ascii="Arial" w:hAnsi="Arial" w:cs="Arial"/>
                            <w:b/>
                            <w:bCs/>
                          </w:rPr>
                        </w:pPr>
                        <w:r>
                          <w:rPr>
                            <w:rFonts w:ascii="Arial" w:hAnsi="Arial" w:cs="Arial"/>
                            <w:b/>
                            <w:bCs/>
                          </w:rPr>
                          <w:t>80.178</w:t>
                        </w:r>
                      </w:p>
                    </w:tc>
                  </w:tr>
                  <w:tr w:rsidR="00000000">
                    <w:tblPrEx>
                      <w:tblCellMar>
                        <w:top w:w="0" w:type="dxa"/>
                        <w:bottom w:w="0" w:type="dxa"/>
                      </w:tblCellMar>
                    </w:tblPrEx>
                    <w:tc>
                      <w:tcPr>
                        <w:tcW w:w="0" w:type="auto"/>
                      </w:tcPr>
                      <w:p w:rsidR="00000000" w:rsidRDefault="000E1CA1">
                        <w:pPr>
                          <w:jc w:val="right"/>
                          <w:rPr>
                            <w:rFonts w:ascii="Arial" w:hAnsi="Arial" w:cs="Arial"/>
                            <w:b/>
                            <w:bCs/>
                          </w:rPr>
                        </w:pPr>
                        <w:r>
                          <w:rPr>
                            <w:rFonts w:ascii="Arial" w:hAnsi="Arial" w:cs="Arial"/>
                            <w:b/>
                            <w:bCs/>
                          </w:rPr>
                          <w:t>3</w:t>
                        </w:r>
                      </w:p>
                    </w:tc>
                    <w:tc>
                      <w:tcPr>
                        <w:tcW w:w="0" w:type="auto"/>
                      </w:tcPr>
                      <w:p w:rsidR="00000000" w:rsidRDefault="000E1CA1">
                        <w:pPr>
                          <w:jc w:val="right"/>
                          <w:rPr>
                            <w:rFonts w:ascii="Arial" w:hAnsi="Arial" w:cs="Arial"/>
                            <w:b/>
                            <w:bCs/>
                          </w:rPr>
                        </w:pPr>
                        <w:r>
                          <w:rPr>
                            <w:rFonts w:ascii="Arial" w:hAnsi="Arial" w:cs="Arial"/>
                            <w:b/>
                            <w:bCs/>
                          </w:rPr>
                          <w:t>1.388</w:t>
                        </w:r>
                      </w:p>
                    </w:tc>
                    <w:tc>
                      <w:tcPr>
                        <w:tcW w:w="0" w:type="auto"/>
                      </w:tcPr>
                      <w:p w:rsidR="00000000" w:rsidRDefault="000E1CA1">
                        <w:pPr>
                          <w:jc w:val="right"/>
                          <w:rPr>
                            <w:rFonts w:ascii="Arial" w:hAnsi="Arial" w:cs="Arial"/>
                            <w:b/>
                            <w:bCs/>
                          </w:rPr>
                        </w:pPr>
                        <w:r>
                          <w:rPr>
                            <w:rFonts w:ascii="Arial" w:hAnsi="Arial" w:cs="Arial"/>
                            <w:b/>
                            <w:bCs/>
                          </w:rPr>
                          <w:t>10.</w:t>
                        </w:r>
                        <w:r>
                          <w:rPr>
                            <w:rFonts w:ascii="Arial" w:hAnsi="Arial" w:cs="Arial"/>
                            <w:b/>
                            <w:bCs/>
                          </w:rPr>
                          <w:t>676</w:t>
                        </w:r>
                      </w:p>
                    </w:tc>
                    <w:tc>
                      <w:tcPr>
                        <w:tcW w:w="0" w:type="auto"/>
                      </w:tcPr>
                      <w:p w:rsidR="00000000" w:rsidRDefault="000E1CA1">
                        <w:pPr>
                          <w:jc w:val="right"/>
                          <w:rPr>
                            <w:rFonts w:ascii="Arial" w:hAnsi="Arial" w:cs="Arial"/>
                            <w:b/>
                            <w:bCs/>
                          </w:rPr>
                        </w:pPr>
                        <w:r>
                          <w:rPr>
                            <w:rFonts w:ascii="Arial" w:hAnsi="Arial" w:cs="Arial"/>
                            <w:b/>
                            <w:bCs/>
                          </w:rPr>
                          <w:t>90.854</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4</w:t>
                        </w:r>
                      </w:p>
                    </w:tc>
                    <w:tc>
                      <w:tcPr>
                        <w:tcW w:w="0" w:type="auto"/>
                      </w:tcPr>
                      <w:p w:rsidR="00000000" w:rsidRDefault="000E1CA1">
                        <w:pPr>
                          <w:jc w:val="right"/>
                          <w:rPr>
                            <w:rFonts w:ascii="Arial" w:hAnsi="Arial" w:cs="Arial"/>
                          </w:rPr>
                        </w:pPr>
                        <w:r>
                          <w:rPr>
                            <w:rFonts w:ascii="Arial" w:hAnsi="Arial" w:cs="Arial"/>
                          </w:rPr>
                          <w:t>0.695</w:t>
                        </w:r>
                      </w:p>
                    </w:tc>
                    <w:tc>
                      <w:tcPr>
                        <w:tcW w:w="0" w:type="auto"/>
                      </w:tcPr>
                      <w:p w:rsidR="00000000" w:rsidRDefault="000E1CA1">
                        <w:pPr>
                          <w:jc w:val="right"/>
                          <w:rPr>
                            <w:rFonts w:ascii="Arial" w:hAnsi="Arial" w:cs="Arial"/>
                          </w:rPr>
                        </w:pPr>
                        <w:r>
                          <w:rPr>
                            <w:rFonts w:ascii="Arial" w:hAnsi="Arial" w:cs="Arial"/>
                          </w:rPr>
                          <w:t>5.343</w:t>
                        </w:r>
                      </w:p>
                    </w:tc>
                    <w:tc>
                      <w:tcPr>
                        <w:tcW w:w="0" w:type="auto"/>
                      </w:tcPr>
                      <w:p w:rsidR="00000000" w:rsidRDefault="000E1CA1">
                        <w:pPr>
                          <w:jc w:val="right"/>
                          <w:rPr>
                            <w:rFonts w:ascii="Arial" w:hAnsi="Arial" w:cs="Arial"/>
                          </w:rPr>
                        </w:pPr>
                        <w:r>
                          <w:rPr>
                            <w:rFonts w:ascii="Arial" w:hAnsi="Arial" w:cs="Arial"/>
                          </w:rPr>
                          <w:t>96.197</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5</w:t>
                        </w:r>
                      </w:p>
                    </w:tc>
                    <w:tc>
                      <w:tcPr>
                        <w:tcW w:w="0" w:type="auto"/>
                      </w:tcPr>
                      <w:p w:rsidR="00000000" w:rsidRDefault="000E1CA1">
                        <w:pPr>
                          <w:jc w:val="right"/>
                          <w:rPr>
                            <w:rFonts w:ascii="Arial" w:hAnsi="Arial" w:cs="Arial"/>
                          </w:rPr>
                        </w:pPr>
                        <w:r>
                          <w:rPr>
                            <w:rFonts w:ascii="Arial" w:hAnsi="Arial" w:cs="Arial"/>
                          </w:rPr>
                          <w:t>0.268</w:t>
                        </w:r>
                      </w:p>
                    </w:tc>
                    <w:tc>
                      <w:tcPr>
                        <w:tcW w:w="0" w:type="auto"/>
                      </w:tcPr>
                      <w:p w:rsidR="00000000" w:rsidRDefault="000E1CA1">
                        <w:pPr>
                          <w:jc w:val="right"/>
                          <w:rPr>
                            <w:rFonts w:ascii="Arial" w:hAnsi="Arial" w:cs="Arial"/>
                          </w:rPr>
                        </w:pPr>
                        <w:r>
                          <w:rPr>
                            <w:rFonts w:ascii="Arial" w:hAnsi="Arial" w:cs="Arial"/>
                          </w:rPr>
                          <w:t>2.065</w:t>
                        </w:r>
                      </w:p>
                    </w:tc>
                    <w:tc>
                      <w:tcPr>
                        <w:tcW w:w="0" w:type="auto"/>
                      </w:tcPr>
                      <w:p w:rsidR="00000000" w:rsidRDefault="000E1CA1">
                        <w:pPr>
                          <w:jc w:val="right"/>
                          <w:rPr>
                            <w:rFonts w:ascii="Arial" w:hAnsi="Arial" w:cs="Arial"/>
                          </w:rPr>
                        </w:pPr>
                        <w:r>
                          <w:rPr>
                            <w:rFonts w:ascii="Arial" w:hAnsi="Arial" w:cs="Arial"/>
                          </w:rPr>
                          <w:t>98.262</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6</w:t>
                        </w:r>
                      </w:p>
                    </w:tc>
                    <w:tc>
                      <w:tcPr>
                        <w:tcW w:w="0" w:type="auto"/>
                      </w:tcPr>
                      <w:p w:rsidR="00000000" w:rsidRDefault="000E1CA1">
                        <w:pPr>
                          <w:jc w:val="right"/>
                          <w:rPr>
                            <w:rFonts w:ascii="Arial" w:hAnsi="Arial" w:cs="Arial"/>
                          </w:rPr>
                        </w:pPr>
                        <w:r>
                          <w:rPr>
                            <w:rFonts w:ascii="Arial" w:hAnsi="Arial" w:cs="Arial"/>
                          </w:rPr>
                          <w:t>0.124</w:t>
                        </w:r>
                      </w:p>
                    </w:tc>
                    <w:tc>
                      <w:tcPr>
                        <w:tcW w:w="0" w:type="auto"/>
                      </w:tcPr>
                      <w:p w:rsidR="00000000" w:rsidRDefault="000E1CA1">
                        <w:pPr>
                          <w:jc w:val="right"/>
                          <w:rPr>
                            <w:rFonts w:ascii="Arial" w:hAnsi="Arial" w:cs="Arial"/>
                          </w:rPr>
                        </w:pPr>
                        <w:r>
                          <w:rPr>
                            <w:rFonts w:ascii="Arial" w:hAnsi="Arial" w:cs="Arial"/>
                          </w:rPr>
                          <w:t>0.952</w:t>
                        </w:r>
                      </w:p>
                    </w:tc>
                    <w:tc>
                      <w:tcPr>
                        <w:tcW w:w="0" w:type="auto"/>
                      </w:tcPr>
                      <w:p w:rsidR="00000000" w:rsidRDefault="000E1CA1">
                        <w:pPr>
                          <w:jc w:val="right"/>
                          <w:rPr>
                            <w:rFonts w:ascii="Arial" w:hAnsi="Arial" w:cs="Arial"/>
                          </w:rPr>
                        </w:pPr>
                        <w:r>
                          <w:rPr>
                            <w:rFonts w:ascii="Arial" w:hAnsi="Arial" w:cs="Arial"/>
                          </w:rPr>
                          <w:t>99.214</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7</w:t>
                        </w:r>
                      </w:p>
                    </w:tc>
                    <w:tc>
                      <w:tcPr>
                        <w:tcW w:w="0" w:type="auto"/>
                      </w:tcPr>
                      <w:p w:rsidR="00000000" w:rsidRDefault="000E1CA1">
                        <w:pPr>
                          <w:jc w:val="right"/>
                          <w:rPr>
                            <w:rFonts w:ascii="Arial" w:hAnsi="Arial" w:cs="Arial"/>
                          </w:rPr>
                        </w:pPr>
                        <w:r>
                          <w:rPr>
                            <w:rFonts w:ascii="Arial" w:hAnsi="Arial" w:cs="Arial"/>
                          </w:rPr>
                          <w:t>0.047</w:t>
                        </w:r>
                      </w:p>
                    </w:tc>
                    <w:tc>
                      <w:tcPr>
                        <w:tcW w:w="0" w:type="auto"/>
                      </w:tcPr>
                      <w:p w:rsidR="00000000" w:rsidRDefault="000E1CA1">
                        <w:pPr>
                          <w:jc w:val="right"/>
                          <w:rPr>
                            <w:rFonts w:ascii="Arial" w:hAnsi="Arial" w:cs="Arial"/>
                          </w:rPr>
                        </w:pPr>
                        <w:r>
                          <w:rPr>
                            <w:rFonts w:ascii="Arial" w:hAnsi="Arial" w:cs="Arial"/>
                          </w:rPr>
                          <w:t>0.367</w:t>
                        </w:r>
                      </w:p>
                    </w:tc>
                    <w:tc>
                      <w:tcPr>
                        <w:tcW w:w="0" w:type="auto"/>
                      </w:tcPr>
                      <w:p w:rsidR="00000000" w:rsidRDefault="000E1CA1">
                        <w:pPr>
                          <w:jc w:val="right"/>
                          <w:rPr>
                            <w:rFonts w:ascii="Arial" w:hAnsi="Arial" w:cs="Arial"/>
                          </w:rPr>
                        </w:pPr>
                        <w:r>
                          <w:rPr>
                            <w:rFonts w:ascii="Arial" w:hAnsi="Arial" w:cs="Arial"/>
                          </w:rPr>
                          <w:t>99.581</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8</w:t>
                        </w:r>
                      </w:p>
                    </w:tc>
                    <w:tc>
                      <w:tcPr>
                        <w:tcW w:w="0" w:type="auto"/>
                      </w:tcPr>
                      <w:p w:rsidR="00000000" w:rsidRDefault="000E1CA1">
                        <w:pPr>
                          <w:jc w:val="right"/>
                          <w:rPr>
                            <w:rFonts w:ascii="Arial" w:hAnsi="Arial" w:cs="Arial"/>
                          </w:rPr>
                        </w:pPr>
                        <w:r>
                          <w:rPr>
                            <w:rFonts w:ascii="Arial" w:hAnsi="Arial" w:cs="Arial"/>
                          </w:rPr>
                          <w:t>0.027</w:t>
                        </w:r>
                      </w:p>
                    </w:tc>
                    <w:tc>
                      <w:tcPr>
                        <w:tcW w:w="0" w:type="auto"/>
                      </w:tcPr>
                      <w:p w:rsidR="00000000" w:rsidRDefault="000E1CA1">
                        <w:pPr>
                          <w:jc w:val="right"/>
                          <w:rPr>
                            <w:rFonts w:ascii="Arial" w:hAnsi="Arial" w:cs="Arial"/>
                          </w:rPr>
                        </w:pPr>
                        <w:r>
                          <w:rPr>
                            <w:rFonts w:ascii="Arial" w:hAnsi="Arial" w:cs="Arial"/>
                          </w:rPr>
                          <w:t>0.213</w:t>
                        </w:r>
                      </w:p>
                    </w:tc>
                    <w:tc>
                      <w:tcPr>
                        <w:tcW w:w="0" w:type="auto"/>
                      </w:tcPr>
                      <w:p w:rsidR="00000000" w:rsidRDefault="000E1CA1">
                        <w:pPr>
                          <w:jc w:val="right"/>
                          <w:rPr>
                            <w:rFonts w:ascii="Arial" w:hAnsi="Arial" w:cs="Arial"/>
                          </w:rPr>
                        </w:pPr>
                        <w:r>
                          <w:rPr>
                            <w:rFonts w:ascii="Arial" w:hAnsi="Arial" w:cs="Arial"/>
                          </w:rPr>
                          <w:t>99.794</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9</w:t>
                        </w:r>
                      </w:p>
                    </w:tc>
                    <w:tc>
                      <w:tcPr>
                        <w:tcW w:w="0" w:type="auto"/>
                      </w:tcPr>
                      <w:p w:rsidR="00000000" w:rsidRDefault="000E1CA1">
                        <w:pPr>
                          <w:jc w:val="right"/>
                          <w:rPr>
                            <w:rFonts w:ascii="Arial" w:hAnsi="Arial" w:cs="Arial"/>
                          </w:rPr>
                        </w:pPr>
                        <w:r>
                          <w:rPr>
                            <w:rFonts w:ascii="Arial" w:hAnsi="Arial" w:cs="Arial"/>
                          </w:rPr>
                          <w:t>0.015</w:t>
                        </w:r>
                      </w:p>
                    </w:tc>
                    <w:tc>
                      <w:tcPr>
                        <w:tcW w:w="0" w:type="auto"/>
                      </w:tcPr>
                      <w:p w:rsidR="00000000" w:rsidRDefault="000E1CA1">
                        <w:pPr>
                          <w:jc w:val="right"/>
                          <w:rPr>
                            <w:rFonts w:ascii="Arial" w:hAnsi="Arial" w:cs="Arial"/>
                          </w:rPr>
                        </w:pPr>
                        <w:r>
                          <w:rPr>
                            <w:rFonts w:ascii="Arial" w:hAnsi="Arial" w:cs="Arial"/>
                          </w:rPr>
                          <w:t>0.121</w:t>
                        </w:r>
                      </w:p>
                    </w:tc>
                    <w:tc>
                      <w:tcPr>
                        <w:tcW w:w="0" w:type="auto"/>
                      </w:tcPr>
                      <w:p w:rsidR="00000000" w:rsidRDefault="000E1CA1">
                        <w:pPr>
                          <w:jc w:val="right"/>
                          <w:rPr>
                            <w:rFonts w:ascii="Arial" w:hAnsi="Arial" w:cs="Arial"/>
                          </w:rPr>
                        </w:pPr>
                        <w:r>
                          <w:rPr>
                            <w:rFonts w:ascii="Arial" w:hAnsi="Arial" w:cs="Arial"/>
                          </w:rPr>
                          <w:t>99.915</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10</w:t>
                        </w:r>
                      </w:p>
                    </w:tc>
                    <w:tc>
                      <w:tcPr>
                        <w:tcW w:w="0" w:type="auto"/>
                      </w:tcPr>
                      <w:p w:rsidR="00000000" w:rsidRDefault="000E1CA1">
                        <w:pPr>
                          <w:jc w:val="right"/>
                          <w:rPr>
                            <w:rFonts w:ascii="Arial" w:hAnsi="Arial" w:cs="Arial"/>
                          </w:rPr>
                        </w:pPr>
                        <w:r>
                          <w:rPr>
                            <w:rFonts w:ascii="Arial" w:hAnsi="Arial" w:cs="Arial"/>
                          </w:rPr>
                          <w:t>0.008</w:t>
                        </w:r>
                      </w:p>
                    </w:tc>
                    <w:tc>
                      <w:tcPr>
                        <w:tcW w:w="0" w:type="auto"/>
                      </w:tcPr>
                      <w:p w:rsidR="00000000" w:rsidRDefault="000E1CA1">
                        <w:pPr>
                          <w:jc w:val="right"/>
                          <w:rPr>
                            <w:rFonts w:ascii="Arial" w:hAnsi="Arial" w:cs="Arial"/>
                          </w:rPr>
                        </w:pPr>
                        <w:r>
                          <w:rPr>
                            <w:rFonts w:ascii="Arial" w:hAnsi="Arial" w:cs="Arial"/>
                          </w:rPr>
                          <w:t>6.801E-02</w:t>
                        </w:r>
                      </w:p>
                    </w:tc>
                    <w:tc>
                      <w:tcPr>
                        <w:tcW w:w="0" w:type="auto"/>
                      </w:tcPr>
                      <w:p w:rsidR="00000000" w:rsidRDefault="000E1CA1">
                        <w:pPr>
                          <w:jc w:val="right"/>
                          <w:rPr>
                            <w:rFonts w:ascii="Arial" w:hAnsi="Arial" w:cs="Arial"/>
                          </w:rPr>
                        </w:pPr>
                        <w:r>
                          <w:rPr>
                            <w:rFonts w:ascii="Arial" w:hAnsi="Arial" w:cs="Arial"/>
                          </w:rPr>
                          <w:t>99.983</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11</w:t>
                        </w:r>
                      </w:p>
                    </w:tc>
                    <w:tc>
                      <w:tcPr>
                        <w:tcW w:w="0" w:type="auto"/>
                      </w:tcPr>
                      <w:p w:rsidR="00000000" w:rsidRDefault="000E1CA1">
                        <w:pPr>
                          <w:jc w:val="right"/>
                          <w:rPr>
                            <w:rFonts w:ascii="Arial" w:hAnsi="Arial" w:cs="Arial"/>
                          </w:rPr>
                        </w:pPr>
                        <w:r>
                          <w:rPr>
                            <w:rFonts w:ascii="Arial" w:hAnsi="Arial" w:cs="Arial"/>
                          </w:rPr>
                          <w:t>0.001</w:t>
                        </w:r>
                      </w:p>
                    </w:tc>
                    <w:tc>
                      <w:tcPr>
                        <w:tcW w:w="0" w:type="auto"/>
                      </w:tcPr>
                      <w:p w:rsidR="00000000" w:rsidRDefault="000E1CA1">
                        <w:pPr>
                          <w:jc w:val="right"/>
                          <w:rPr>
                            <w:rFonts w:ascii="Arial" w:hAnsi="Arial" w:cs="Arial"/>
                          </w:rPr>
                        </w:pPr>
                        <w:r>
                          <w:rPr>
                            <w:rFonts w:ascii="Arial" w:hAnsi="Arial" w:cs="Arial"/>
                          </w:rPr>
                          <w:t>1.025E-02</w:t>
                        </w:r>
                      </w:p>
                    </w:tc>
                    <w:tc>
                      <w:tcPr>
                        <w:tcW w:w="0" w:type="auto"/>
                      </w:tcPr>
                      <w:p w:rsidR="00000000" w:rsidRDefault="000E1CA1">
                        <w:pPr>
                          <w:jc w:val="right"/>
                          <w:rPr>
                            <w:rFonts w:ascii="Arial" w:hAnsi="Arial" w:cs="Arial"/>
                          </w:rPr>
                        </w:pPr>
                        <w:r>
                          <w:rPr>
                            <w:rFonts w:ascii="Arial" w:hAnsi="Arial" w:cs="Arial"/>
                          </w:rPr>
                          <w:t>99.993</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12</w:t>
                        </w:r>
                      </w:p>
                    </w:tc>
                    <w:tc>
                      <w:tcPr>
                        <w:tcW w:w="0" w:type="auto"/>
                      </w:tcPr>
                      <w:p w:rsidR="00000000" w:rsidRDefault="000E1CA1">
                        <w:pPr>
                          <w:jc w:val="right"/>
                          <w:rPr>
                            <w:rFonts w:ascii="Arial" w:hAnsi="Arial" w:cs="Arial"/>
                          </w:rPr>
                        </w:pPr>
                        <w:r>
                          <w:rPr>
                            <w:rFonts w:ascii="Arial" w:hAnsi="Arial" w:cs="Arial"/>
                          </w:rPr>
                          <w:t>9.1E-04</w:t>
                        </w:r>
                      </w:p>
                    </w:tc>
                    <w:tc>
                      <w:tcPr>
                        <w:tcW w:w="0" w:type="auto"/>
                      </w:tcPr>
                      <w:p w:rsidR="00000000" w:rsidRDefault="000E1CA1">
                        <w:pPr>
                          <w:jc w:val="right"/>
                          <w:rPr>
                            <w:rFonts w:ascii="Arial" w:hAnsi="Arial" w:cs="Arial"/>
                          </w:rPr>
                        </w:pPr>
                        <w:r>
                          <w:rPr>
                            <w:rFonts w:ascii="Arial" w:hAnsi="Arial" w:cs="Arial"/>
                          </w:rPr>
                          <w:t>7.031E-03</w:t>
                        </w:r>
                      </w:p>
                    </w:tc>
                    <w:tc>
                      <w:tcPr>
                        <w:tcW w:w="0" w:type="auto"/>
                      </w:tcPr>
                      <w:p w:rsidR="00000000" w:rsidRDefault="000E1CA1">
                        <w:pPr>
                          <w:jc w:val="right"/>
                          <w:rPr>
                            <w:rFonts w:ascii="Arial" w:hAnsi="Arial" w:cs="Arial"/>
                          </w:rPr>
                        </w:pPr>
                        <w:r>
                          <w:rPr>
                            <w:rFonts w:ascii="Arial" w:hAnsi="Arial" w:cs="Arial"/>
                          </w:rPr>
                          <w:t>100</w:t>
                        </w:r>
                      </w:p>
                    </w:tc>
                  </w:tr>
                  <w:tr w:rsidR="00000000">
                    <w:tblPrEx>
                      <w:tblCellMar>
                        <w:top w:w="0" w:type="dxa"/>
                        <w:bottom w:w="0" w:type="dxa"/>
                      </w:tblCellMar>
                    </w:tblPrEx>
                    <w:tc>
                      <w:tcPr>
                        <w:tcW w:w="0" w:type="auto"/>
                      </w:tcPr>
                      <w:p w:rsidR="00000000" w:rsidRDefault="000E1CA1">
                        <w:pPr>
                          <w:jc w:val="right"/>
                          <w:rPr>
                            <w:rFonts w:ascii="Arial" w:hAnsi="Arial" w:cs="Arial"/>
                          </w:rPr>
                        </w:pPr>
                        <w:r>
                          <w:rPr>
                            <w:rFonts w:ascii="Arial" w:hAnsi="Arial" w:cs="Arial"/>
                          </w:rPr>
                          <w:t>13</w:t>
                        </w:r>
                      </w:p>
                    </w:tc>
                    <w:tc>
                      <w:tcPr>
                        <w:tcW w:w="0" w:type="auto"/>
                      </w:tcPr>
                      <w:p w:rsidR="00000000" w:rsidRDefault="000E1CA1">
                        <w:pPr>
                          <w:jc w:val="right"/>
                          <w:rPr>
                            <w:rFonts w:ascii="Arial" w:hAnsi="Arial" w:cs="Arial"/>
                          </w:rPr>
                        </w:pPr>
                        <w:r>
                          <w:rPr>
                            <w:rFonts w:ascii="Arial" w:hAnsi="Arial" w:cs="Arial"/>
                          </w:rPr>
                          <w:t>8.4E-07</w:t>
                        </w:r>
                      </w:p>
                    </w:tc>
                    <w:tc>
                      <w:tcPr>
                        <w:tcW w:w="0" w:type="auto"/>
                      </w:tcPr>
                      <w:p w:rsidR="00000000" w:rsidRDefault="000E1CA1">
                        <w:pPr>
                          <w:jc w:val="right"/>
                          <w:rPr>
                            <w:rFonts w:ascii="Arial" w:hAnsi="Arial" w:cs="Arial"/>
                          </w:rPr>
                        </w:pPr>
                        <w:r>
                          <w:rPr>
                            <w:rFonts w:ascii="Arial" w:hAnsi="Arial" w:cs="Arial"/>
                          </w:rPr>
                          <w:t>6.465E-06</w:t>
                        </w:r>
                      </w:p>
                    </w:tc>
                    <w:tc>
                      <w:tcPr>
                        <w:tcW w:w="0" w:type="auto"/>
                      </w:tcPr>
                      <w:p w:rsidR="00000000" w:rsidRDefault="000E1CA1">
                        <w:pPr>
                          <w:jc w:val="right"/>
                          <w:rPr>
                            <w:rFonts w:ascii="Arial" w:hAnsi="Arial" w:cs="Arial"/>
                          </w:rPr>
                        </w:pPr>
                        <w:r>
                          <w:rPr>
                            <w:rFonts w:ascii="Arial" w:hAnsi="Arial" w:cs="Arial"/>
                          </w:rPr>
                          <w:t>100</w:t>
                        </w:r>
                      </w:p>
                    </w:tc>
                  </w:tr>
                </w:tbl>
                <w:p w:rsidR="00000000" w:rsidRDefault="000E1CA1"/>
              </w:txbxContent>
            </v:textbox>
          </v:shape>
        </w:pict>
      </w: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rPr>
          <w:noProof/>
          <w:sz w:val="20"/>
        </w:rPr>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ind w:left="902"/>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Podemos observar la diferencia que existe entre usar los datos originales y los datos estandarizados, éstos últimos presentan un</w:t>
      </w:r>
      <w:r>
        <w:rPr>
          <w:rFonts w:ascii="Arial" w:hAnsi="Arial" w:cs="Arial"/>
        </w:rPr>
        <w:t xml:space="preserve">a varianza normal, es por eso  que siguiendo el criterio de escoger las componentes cuyos valores propios sean </w:t>
      </w:r>
      <w:r>
        <w:rPr>
          <w:rFonts w:ascii="Arial" w:hAnsi="Arial" w:cs="Arial"/>
        </w:rPr>
        <w:sym w:font="Symbol" w:char="F03E"/>
      </w:r>
      <w:r>
        <w:rPr>
          <w:rFonts w:ascii="Arial" w:hAnsi="Arial" w:cs="Arial"/>
        </w:rPr>
        <w:t xml:space="preserve"> 1, en base a esto elegimos 3 componentes principales y con un porcentaje de explicación del 90.854%.</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357"/>
        <w:jc w:val="both"/>
        <w:rPr>
          <w:rFonts w:ascii="Arial" w:hAnsi="Arial" w:cs="Arial"/>
          <w:b/>
          <w:bCs/>
        </w:rPr>
      </w:pPr>
      <w:r>
        <w:rPr>
          <w:rFonts w:ascii="Arial" w:hAnsi="Arial" w:cs="Arial"/>
          <w:b/>
          <w:bCs/>
        </w:rPr>
        <w:t>4.5   Análisis de factores</w:t>
      </w: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Procediendo</w:t>
      </w:r>
      <w:r>
        <w:rPr>
          <w:rFonts w:ascii="Arial" w:hAnsi="Arial" w:cs="Arial"/>
        </w:rPr>
        <w:t xml:space="preserve"> con el análisis de factores se presentará la matriz de carga, en la cual podremos determinar los factores más relevantes en cada componente.</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En la tabla XLI, se observa que las correlaciones entre las variables de estudio y la componente principal esco</w:t>
      </w:r>
      <w:r>
        <w:rPr>
          <w:rFonts w:ascii="Arial" w:hAnsi="Arial" w:cs="Arial"/>
        </w:rPr>
        <w:t xml:space="preserve">gida son muy altas ya que existen variables con  alta varianza, es por ese motivo que no se escoge este caso puesto que hay mucha dificultad en determinar los factores de la componente.  </w:t>
      </w: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rect id="_x0000_s1153" style="position:absolute;left:0;text-align:left;margin-left:48pt;margin-top:11.55pt;width:366pt;height:298.05pt;z-index:251719168"/>
        </w:pict>
      </w: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shape id="_x0000_s1154" type="#_x0000_t202" style="position:absolute;left:0;text-align:left;margin-left:60pt;margin-top:8.4pt;width:342pt;height:278.4pt;z-index:251720192" strokecolor="white">
            <v:textbox style="mso-next-textbox:#_x0000_s1154">
              <w:txbxContent>
                <w:p w:rsidR="00000000" w:rsidRDefault="000E1CA1">
                  <w:pPr>
                    <w:pStyle w:val="Ttulo3"/>
                    <w:jc w:val="center"/>
                    <w:rPr>
                      <w:rFonts w:ascii="Arial" w:hAnsi="Arial" w:cs="Arial"/>
                    </w:rPr>
                  </w:pPr>
                  <w:r>
                    <w:rPr>
                      <w:rFonts w:ascii="Arial" w:hAnsi="Arial" w:cs="Arial"/>
                    </w:rPr>
                    <w:t>Tabl</w:t>
                  </w:r>
                  <w:r>
                    <w:rPr>
                      <w:rFonts w:ascii="Arial" w:hAnsi="Arial" w:cs="Arial"/>
                    </w:rPr>
                    <w:t>a XLI</w:t>
                  </w:r>
                </w:p>
                <w:p w:rsidR="00000000" w:rsidRDefault="000E1CA1">
                  <w:pPr>
                    <w:jc w:val="center"/>
                    <w:rPr>
                      <w:rFonts w:ascii="Arial" w:hAnsi="Arial" w:cs="Arial"/>
                      <w:b/>
                      <w:bCs/>
                    </w:rPr>
                  </w:pPr>
                  <w:r>
                    <w:rPr>
                      <w:rFonts w:ascii="Arial" w:hAnsi="Arial" w:cs="Arial"/>
                      <w:b/>
                      <w:bCs/>
                    </w:rPr>
                    <w:t>Matriz de carga</w:t>
                  </w:r>
                </w:p>
                <w:p w:rsidR="00000000" w:rsidRDefault="000E1CA1">
                  <w:pPr>
                    <w:pStyle w:val="Ttulo3"/>
                    <w:jc w:val="center"/>
                    <w:rPr>
                      <w:rFonts w:ascii="Arial" w:hAnsi="Arial" w:cs="Arial"/>
                    </w:rPr>
                  </w:pPr>
                  <w:r>
                    <w:rPr>
                      <w:rFonts w:ascii="Arial" w:hAnsi="Arial" w:cs="Arial"/>
                    </w:rPr>
                    <w:t>Datos originales</w:t>
                  </w:r>
                </w:p>
                <w:p w:rsidR="00000000" w:rsidRDefault="000E1CA1">
                  <w:pPr>
                    <w:jc w:val="center"/>
                    <w:rPr>
                      <w:b/>
                      <w:bCs/>
                    </w:rPr>
                  </w:pPr>
                </w:p>
                <w:tbl>
                  <w:tblPr>
                    <w:tblW w:w="0" w:type="auto"/>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71"/>
                    <w:gridCol w:w="1142"/>
                  </w:tblGrid>
                  <w:tr w:rsidR="00000000">
                    <w:tblPrEx>
                      <w:tblCellMar>
                        <w:top w:w="0" w:type="dxa"/>
                        <w:bottom w:w="0" w:type="dxa"/>
                      </w:tblCellMar>
                    </w:tblPrEx>
                    <w:trPr>
                      <w:jc w:val="center"/>
                    </w:trPr>
                    <w:tc>
                      <w:tcPr>
                        <w:tcW w:w="2471" w:type="dxa"/>
                      </w:tcPr>
                      <w:p w:rsidR="00000000" w:rsidRDefault="000E1CA1">
                        <w:pPr>
                          <w:jc w:val="center"/>
                          <w:rPr>
                            <w:rFonts w:ascii="Arial" w:hAnsi="Arial" w:cs="Arial"/>
                            <w:b/>
                            <w:bCs/>
                          </w:rPr>
                        </w:pPr>
                      </w:p>
                    </w:tc>
                    <w:tc>
                      <w:tcPr>
                        <w:tcW w:w="1087" w:type="dxa"/>
                      </w:tcPr>
                      <w:p w:rsidR="00000000" w:rsidRDefault="000E1CA1">
                        <w:pPr>
                          <w:jc w:val="center"/>
                          <w:rPr>
                            <w:b/>
                            <w:bCs/>
                          </w:rPr>
                        </w:pPr>
                        <w:r>
                          <w:rPr>
                            <w:b/>
                            <w:bCs/>
                          </w:rPr>
                          <w:t>1</w:t>
                        </w:r>
                      </w:p>
                    </w:tc>
                  </w:tr>
                  <w:tr w:rsidR="00000000">
                    <w:tblPrEx>
                      <w:tblCellMar>
                        <w:top w:w="0" w:type="dxa"/>
                        <w:bottom w:w="0" w:type="dxa"/>
                      </w:tblCellMar>
                    </w:tblPrEx>
                    <w:trPr>
                      <w:jc w:val="center"/>
                    </w:trPr>
                    <w:tc>
                      <w:tcPr>
                        <w:tcW w:w="2471" w:type="dxa"/>
                      </w:tcPr>
                      <w:p w:rsidR="00000000" w:rsidRDefault="000E1CA1">
                        <w:pPr>
                          <w:pStyle w:val="Ttulo2"/>
                          <w:rPr>
                            <w:rFonts w:ascii="Arial" w:hAnsi="Arial" w:cs="Arial"/>
                            <w:sz w:val="22"/>
                          </w:rPr>
                        </w:pPr>
                        <w:r>
                          <w:rPr>
                            <w:rFonts w:ascii="Arial" w:hAnsi="Arial" w:cs="Arial"/>
                            <w:sz w:val="22"/>
                          </w:rPr>
                          <w:t>No. DE COMPAÑÍAS</w:t>
                        </w:r>
                      </w:p>
                    </w:tc>
                    <w:tc>
                      <w:tcPr>
                        <w:tcW w:w="1087" w:type="dxa"/>
                      </w:tcPr>
                      <w:p w:rsidR="00000000" w:rsidRDefault="000E1CA1">
                        <w:pPr>
                          <w:jc w:val="right"/>
                          <w:rPr>
                            <w:rFonts w:ascii="Arial" w:hAnsi="Arial" w:cs="Arial"/>
                          </w:rPr>
                        </w:pPr>
                        <w:r>
                          <w:rPr>
                            <w:rFonts w:ascii="Arial" w:hAnsi="Arial" w:cs="Arial"/>
                          </w:rPr>
                          <w:t>2162.936</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ACTIVOS</w:t>
                        </w:r>
                      </w:p>
                    </w:tc>
                    <w:tc>
                      <w:tcPr>
                        <w:tcW w:w="1087" w:type="dxa"/>
                      </w:tcPr>
                      <w:p w:rsidR="00000000" w:rsidRDefault="000E1CA1">
                        <w:pPr>
                          <w:jc w:val="right"/>
                          <w:rPr>
                            <w:rFonts w:ascii="Arial" w:hAnsi="Arial" w:cs="Arial"/>
                          </w:rPr>
                        </w:pPr>
                        <w:r>
                          <w:rPr>
                            <w:rFonts w:ascii="Arial" w:hAnsi="Arial" w:cs="Arial"/>
                          </w:rPr>
                          <w:t>2415.284</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PASIVOS</w:t>
                        </w:r>
                      </w:p>
                    </w:tc>
                    <w:tc>
                      <w:tcPr>
                        <w:tcW w:w="1087" w:type="dxa"/>
                      </w:tcPr>
                      <w:p w:rsidR="00000000" w:rsidRDefault="000E1CA1">
                        <w:pPr>
                          <w:jc w:val="right"/>
                          <w:rPr>
                            <w:rFonts w:ascii="Arial" w:hAnsi="Arial" w:cs="Arial"/>
                          </w:rPr>
                        </w:pPr>
                        <w:r>
                          <w:rPr>
                            <w:rFonts w:ascii="Arial" w:hAnsi="Arial" w:cs="Arial"/>
                          </w:rPr>
                          <w:t>1551.766</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PATRIMONIO</w:t>
                        </w:r>
                      </w:p>
                    </w:tc>
                    <w:tc>
                      <w:tcPr>
                        <w:tcW w:w="1087" w:type="dxa"/>
                      </w:tcPr>
                      <w:p w:rsidR="00000000" w:rsidRDefault="000E1CA1">
                        <w:pPr>
                          <w:jc w:val="right"/>
                          <w:rPr>
                            <w:rFonts w:ascii="Arial" w:hAnsi="Arial" w:cs="Arial"/>
                          </w:rPr>
                        </w:pPr>
                        <w:r>
                          <w:rPr>
                            <w:rFonts w:ascii="Arial" w:hAnsi="Arial" w:cs="Arial"/>
                          </w:rPr>
                          <w:t>865.511</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VENTAS</w:t>
                        </w:r>
                      </w:p>
                    </w:tc>
                    <w:tc>
                      <w:tcPr>
                        <w:tcW w:w="1087" w:type="dxa"/>
                      </w:tcPr>
                      <w:p w:rsidR="00000000" w:rsidRDefault="000E1CA1">
                        <w:pPr>
                          <w:jc w:val="right"/>
                          <w:rPr>
                            <w:rFonts w:ascii="Arial" w:hAnsi="Arial" w:cs="Arial"/>
                          </w:rPr>
                        </w:pPr>
                        <w:r>
                          <w:rPr>
                            <w:rFonts w:ascii="Arial" w:hAnsi="Arial" w:cs="Arial"/>
                          </w:rPr>
                          <w:t>1688.493</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ENDEUDAMIENTO</w:t>
                        </w:r>
                      </w:p>
                    </w:tc>
                    <w:tc>
                      <w:tcPr>
                        <w:tcW w:w="1087" w:type="dxa"/>
                      </w:tcPr>
                      <w:p w:rsidR="00000000" w:rsidRDefault="000E1CA1">
                        <w:pPr>
                          <w:jc w:val="right"/>
                          <w:rPr>
                            <w:rFonts w:ascii="Arial" w:hAnsi="Arial" w:cs="Arial"/>
                          </w:rPr>
                        </w:pPr>
                        <w:r>
                          <w:rPr>
                            <w:rFonts w:ascii="Arial" w:hAnsi="Arial" w:cs="Arial"/>
                          </w:rPr>
                          <w:t>-0.013</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PART_DEUDAS</w:t>
                        </w:r>
                      </w:p>
                    </w:tc>
                    <w:tc>
                      <w:tcPr>
                        <w:tcW w:w="1087" w:type="dxa"/>
                      </w:tcPr>
                      <w:p w:rsidR="00000000" w:rsidRDefault="000E1CA1">
                        <w:pPr>
                          <w:jc w:val="right"/>
                          <w:rPr>
                            <w:rFonts w:ascii="Arial" w:hAnsi="Arial" w:cs="Arial"/>
                          </w:rPr>
                        </w:pPr>
                        <w:r>
                          <w:rPr>
                            <w:rFonts w:ascii="Arial" w:hAnsi="Arial" w:cs="Arial"/>
                          </w:rPr>
                          <w:t>0.033</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PART_ACCIONARIA</w:t>
                        </w:r>
                      </w:p>
                    </w:tc>
                    <w:tc>
                      <w:tcPr>
                        <w:tcW w:w="1087" w:type="dxa"/>
                      </w:tcPr>
                      <w:p w:rsidR="00000000" w:rsidRDefault="000E1CA1">
                        <w:pPr>
                          <w:jc w:val="right"/>
                          <w:rPr>
                            <w:rFonts w:ascii="Arial" w:hAnsi="Arial" w:cs="Arial"/>
                          </w:rPr>
                        </w:pPr>
                        <w:r>
                          <w:rPr>
                            <w:rFonts w:ascii="Arial" w:hAnsi="Arial" w:cs="Arial"/>
                          </w:rPr>
                          <w:t>0.013</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REN_ACTIVO</w:t>
                        </w:r>
                      </w:p>
                    </w:tc>
                    <w:tc>
                      <w:tcPr>
                        <w:tcW w:w="1087" w:type="dxa"/>
                      </w:tcPr>
                      <w:p w:rsidR="00000000" w:rsidRDefault="000E1CA1">
                        <w:pPr>
                          <w:jc w:val="right"/>
                          <w:rPr>
                            <w:rFonts w:ascii="Arial" w:hAnsi="Arial" w:cs="Arial"/>
                          </w:rPr>
                        </w:pPr>
                        <w:r>
                          <w:rPr>
                            <w:rFonts w:ascii="Arial" w:hAnsi="Arial" w:cs="Arial"/>
                          </w:rPr>
                          <w:t>-0.034</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REN_PATRIMONIO</w:t>
                        </w:r>
                      </w:p>
                    </w:tc>
                    <w:tc>
                      <w:tcPr>
                        <w:tcW w:w="1087" w:type="dxa"/>
                      </w:tcPr>
                      <w:p w:rsidR="00000000" w:rsidRDefault="000E1CA1">
                        <w:pPr>
                          <w:jc w:val="right"/>
                          <w:rPr>
                            <w:rFonts w:ascii="Arial" w:hAnsi="Arial" w:cs="Arial"/>
                          </w:rPr>
                        </w:pPr>
                        <w:r>
                          <w:rPr>
                            <w:rFonts w:ascii="Arial" w:hAnsi="Arial" w:cs="Arial"/>
                          </w:rPr>
                          <w:t>-0.225</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PIB</w:t>
                        </w:r>
                      </w:p>
                    </w:tc>
                    <w:tc>
                      <w:tcPr>
                        <w:tcW w:w="1087" w:type="dxa"/>
                      </w:tcPr>
                      <w:p w:rsidR="00000000" w:rsidRDefault="000E1CA1">
                        <w:pPr>
                          <w:jc w:val="right"/>
                          <w:rPr>
                            <w:rFonts w:ascii="Arial" w:hAnsi="Arial" w:cs="Arial"/>
                          </w:rPr>
                        </w:pPr>
                        <w:r>
                          <w:rPr>
                            <w:rFonts w:ascii="Arial" w:hAnsi="Arial" w:cs="Arial"/>
                          </w:rPr>
                          <w:t>33</w:t>
                        </w:r>
                        <w:r>
                          <w:rPr>
                            <w:rFonts w:ascii="Arial" w:hAnsi="Arial" w:cs="Arial"/>
                          </w:rPr>
                          <w:t>67.149</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BALANZA</w:t>
                        </w:r>
                      </w:p>
                    </w:tc>
                    <w:tc>
                      <w:tcPr>
                        <w:tcW w:w="1087" w:type="dxa"/>
                      </w:tcPr>
                      <w:p w:rsidR="00000000" w:rsidRDefault="000E1CA1">
                        <w:pPr>
                          <w:jc w:val="right"/>
                          <w:rPr>
                            <w:rFonts w:ascii="Arial" w:hAnsi="Arial" w:cs="Arial"/>
                          </w:rPr>
                        </w:pPr>
                        <w:r>
                          <w:rPr>
                            <w:rFonts w:ascii="Arial" w:hAnsi="Arial" w:cs="Arial"/>
                          </w:rPr>
                          <w:t>59.999</w:t>
                        </w:r>
                      </w:p>
                    </w:tc>
                  </w:tr>
                  <w:tr w:rsidR="00000000">
                    <w:tblPrEx>
                      <w:tblCellMar>
                        <w:top w:w="0" w:type="dxa"/>
                        <w:bottom w:w="0" w:type="dxa"/>
                      </w:tblCellMar>
                    </w:tblPrEx>
                    <w:trPr>
                      <w:jc w:val="center"/>
                    </w:trPr>
                    <w:tc>
                      <w:tcPr>
                        <w:tcW w:w="2471" w:type="dxa"/>
                      </w:tcPr>
                      <w:p w:rsidR="00000000" w:rsidRDefault="000E1CA1">
                        <w:pPr>
                          <w:rPr>
                            <w:rFonts w:ascii="Arial" w:hAnsi="Arial" w:cs="Arial"/>
                            <w:b/>
                            <w:bCs/>
                            <w:sz w:val="22"/>
                          </w:rPr>
                        </w:pPr>
                        <w:r>
                          <w:rPr>
                            <w:rFonts w:ascii="Arial" w:hAnsi="Arial" w:cs="Arial"/>
                            <w:b/>
                            <w:bCs/>
                            <w:sz w:val="22"/>
                          </w:rPr>
                          <w:t>DEUDA PRIVADA</w:t>
                        </w:r>
                      </w:p>
                    </w:tc>
                    <w:tc>
                      <w:tcPr>
                        <w:tcW w:w="1087" w:type="dxa"/>
                      </w:tcPr>
                      <w:p w:rsidR="00000000" w:rsidRDefault="000E1CA1">
                        <w:pPr>
                          <w:jc w:val="right"/>
                          <w:rPr>
                            <w:rFonts w:ascii="Arial" w:hAnsi="Arial" w:cs="Arial"/>
                          </w:rPr>
                        </w:pPr>
                        <w:r>
                          <w:rPr>
                            <w:rFonts w:ascii="Arial" w:hAnsi="Arial" w:cs="Arial"/>
                          </w:rPr>
                          <w:t>568.719</w:t>
                        </w:r>
                      </w:p>
                    </w:tc>
                  </w:tr>
                </w:tbl>
                <w:p w:rsidR="00000000" w:rsidRDefault="000E1CA1">
                  <w:pPr>
                    <w:jc w:val="center"/>
                    <w:rPr>
                      <w:b/>
                      <w:bCs/>
                    </w:rPr>
                  </w:pPr>
                </w:p>
              </w:txbxContent>
            </v:textbox>
          </v:shape>
        </w:pic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A continuación se presenta la matriz de car</w:t>
      </w:r>
      <w:r>
        <w:rPr>
          <w:rFonts w:ascii="Arial" w:hAnsi="Arial" w:cs="Arial"/>
        </w:rPr>
        <w:t>ga de los datos estandarizados.</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rect id="_x0000_s1155" style="position:absolute;left:0;text-align:left;margin-left:42pt;margin-top:10.2pt;width:336pt;height:289.8pt;z-index:251721216"/>
        </w:pict>
      </w: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shape id="_x0000_s1156" type="#_x0000_t202" style="position:absolute;left:0;text-align:left;margin-left:48pt;margin-top:7.2pt;width:324pt;height:270pt;z-index:251722240" strokecolor="white">
            <v:textbox style="mso-next-textbox:#_x0000_s1156">
              <w:txbxContent>
                <w:p w:rsidR="00000000" w:rsidRDefault="000E1CA1">
                  <w:pPr>
                    <w:pStyle w:val="Ttulo3"/>
                    <w:jc w:val="center"/>
                    <w:rPr>
                      <w:rFonts w:ascii="Arial" w:hAnsi="Arial" w:cs="Arial"/>
                    </w:rPr>
                  </w:pPr>
                  <w:r>
                    <w:rPr>
                      <w:rFonts w:ascii="Arial" w:hAnsi="Arial" w:cs="Arial"/>
                    </w:rPr>
                    <w:t>Tabla XLII</w:t>
                  </w:r>
                </w:p>
                <w:p w:rsidR="00000000" w:rsidRDefault="000E1CA1">
                  <w:pPr>
                    <w:jc w:val="center"/>
                    <w:rPr>
                      <w:rFonts w:ascii="Arial" w:hAnsi="Arial" w:cs="Arial"/>
                      <w:b/>
                      <w:bCs/>
                    </w:rPr>
                  </w:pPr>
                  <w:r>
                    <w:rPr>
                      <w:rFonts w:ascii="Arial" w:hAnsi="Arial" w:cs="Arial"/>
                      <w:b/>
                      <w:bCs/>
                    </w:rPr>
                    <w:t>Matriz de carga</w:t>
                  </w:r>
                </w:p>
                <w:p w:rsidR="00000000" w:rsidRDefault="000E1CA1">
                  <w:pPr>
                    <w:jc w:val="center"/>
                    <w:rPr>
                      <w:rFonts w:ascii="Arial" w:hAnsi="Arial" w:cs="Arial"/>
                      <w:b/>
                      <w:bCs/>
                    </w:rPr>
                  </w:pPr>
                  <w:r>
                    <w:rPr>
                      <w:rFonts w:ascii="Arial" w:hAnsi="Arial" w:cs="Arial"/>
                      <w:b/>
                      <w:bCs/>
                    </w:rPr>
                    <w:t>Datos estandarizados</w:t>
                  </w:r>
                </w:p>
                <w:p w:rsidR="00000000" w:rsidRDefault="000E1CA1">
                  <w:pPr>
                    <w:jc w:val="center"/>
                    <w:rPr>
                      <w:b/>
                      <w:bCs/>
                    </w:rPr>
                  </w:pPr>
                </w:p>
                <w:tbl>
                  <w:tblPr>
                    <w:tblW w:w="0" w:type="auto"/>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7"/>
                    <w:gridCol w:w="892"/>
                    <w:gridCol w:w="1020"/>
                    <w:gridCol w:w="844"/>
                  </w:tblGrid>
                  <w:tr w:rsidR="00000000">
                    <w:tblPrEx>
                      <w:tblCellMar>
                        <w:top w:w="0" w:type="dxa"/>
                        <w:bottom w:w="0" w:type="dxa"/>
                      </w:tblCellMar>
                    </w:tblPrEx>
                    <w:trPr>
                      <w:jc w:val="center"/>
                    </w:trPr>
                    <w:tc>
                      <w:tcPr>
                        <w:tcW w:w="2267" w:type="dxa"/>
                      </w:tcPr>
                      <w:p w:rsidR="00000000" w:rsidRDefault="000E1CA1">
                        <w:pPr>
                          <w:jc w:val="center"/>
                          <w:rPr>
                            <w:rFonts w:ascii="Arial" w:hAnsi="Arial" w:cs="Arial"/>
                            <w:b/>
                            <w:bCs/>
                          </w:rPr>
                        </w:pPr>
                      </w:p>
                    </w:tc>
                    <w:tc>
                      <w:tcPr>
                        <w:tcW w:w="892" w:type="dxa"/>
                      </w:tcPr>
                      <w:p w:rsidR="00000000" w:rsidRDefault="000E1CA1">
                        <w:pPr>
                          <w:jc w:val="center"/>
                          <w:rPr>
                            <w:b/>
                            <w:bCs/>
                          </w:rPr>
                        </w:pPr>
                        <w:r>
                          <w:rPr>
                            <w:b/>
                            <w:bCs/>
                          </w:rPr>
                          <w:t>1</w:t>
                        </w:r>
                      </w:p>
                    </w:tc>
                    <w:tc>
                      <w:tcPr>
                        <w:tcW w:w="1020" w:type="dxa"/>
                      </w:tcPr>
                      <w:p w:rsidR="00000000" w:rsidRDefault="000E1CA1">
                        <w:pPr>
                          <w:jc w:val="center"/>
                          <w:rPr>
                            <w:b/>
                            <w:bCs/>
                          </w:rPr>
                        </w:pPr>
                        <w:r>
                          <w:rPr>
                            <w:b/>
                            <w:bCs/>
                          </w:rPr>
                          <w:t>2</w:t>
                        </w:r>
                      </w:p>
                    </w:tc>
                    <w:tc>
                      <w:tcPr>
                        <w:tcW w:w="844" w:type="dxa"/>
                      </w:tcPr>
                      <w:p w:rsidR="00000000" w:rsidRDefault="000E1CA1">
                        <w:pPr>
                          <w:jc w:val="center"/>
                          <w:rPr>
                            <w:b/>
                            <w:bCs/>
                          </w:rPr>
                        </w:pPr>
                        <w:r>
                          <w:rPr>
                            <w:b/>
                            <w:bCs/>
                          </w:rPr>
                          <w:t>3</w:t>
                        </w:r>
                      </w:p>
                    </w:tc>
                  </w:tr>
                  <w:tr w:rsidR="00000000">
                    <w:tblPrEx>
                      <w:tblCellMar>
                        <w:top w:w="0" w:type="dxa"/>
                        <w:bottom w:w="0" w:type="dxa"/>
                      </w:tblCellMar>
                    </w:tblPrEx>
                    <w:trPr>
                      <w:jc w:val="center"/>
                    </w:trPr>
                    <w:tc>
                      <w:tcPr>
                        <w:tcW w:w="2267" w:type="dxa"/>
                      </w:tcPr>
                      <w:p w:rsidR="00000000" w:rsidRDefault="000E1CA1">
                        <w:pPr>
                          <w:pStyle w:val="Ttulo2"/>
                        </w:pPr>
                        <w:r>
                          <w:t>No</w:t>
                        </w:r>
                        <w:r>
                          <w:rPr>
                            <w:rFonts w:ascii="Arial" w:hAnsi="Arial" w:cs="Arial"/>
                            <w:sz w:val="22"/>
                          </w:rPr>
                          <w:t>. DE COMPAÑÍAS</w:t>
                        </w:r>
                      </w:p>
                    </w:tc>
                    <w:tc>
                      <w:tcPr>
                        <w:tcW w:w="892" w:type="dxa"/>
                      </w:tcPr>
                      <w:p w:rsidR="00000000" w:rsidRDefault="000E1CA1">
                        <w:pPr>
                          <w:jc w:val="right"/>
                          <w:rPr>
                            <w:rFonts w:ascii="Arial" w:hAnsi="Arial" w:cs="Arial"/>
                            <w:b/>
                            <w:bCs/>
                          </w:rPr>
                        </w:pPr>
                        <w:r>
                          <w:rPr>
                            <w:rFonts w:ascii="Arial" w:hAnsi="Arial" w:cs="Arial"/>
                            <w:b/>
                            <w:bCs/>
                          </w:rPr>
                          <w:t>0.902</w:t>
                        </w:r>
                      </w:p>
                    </w:tc>
                    <w:tc>
                      <w:tcPr>
                        <w:tcW w:w="1020" w:type="dxa"/>
                      </w:tcPr>
                      <w:p w:rsidR="00000000" w:rsidRDefault="000E1CA1">
                        <w:pPr>
                          <w:jc w:val="right"/>
                          <w:rPr>
                            <w:rFonts w:ascii="Arial" w:hAnsi="Arial" w:cs="Arial"/>
                          </w:rPr>
                        </w:pPr>
                        <w:r>
                          <w:rPr>
                            <w:rFonts w:ascii="Arial" w:hAnsi="Arial" w:cs="Arial"/>
                          </w:rPr>
                          <w:t>0.137</w:t>
                        </w:r>
                      </w:p>
                    </w:tc>
                    <w:tc>
                      <w:tcPr>
                        <w:tcW w:w="844" w:type="dxa"/>
                      </w:tcPr>
                      <w:p w:rsidR="00000000" w:rsidRDefault="000E1CA1">
                        <w:pPr>
                          <w:jc w:val="right"/>
                          <w:rPr>
                            <w:rFonts w:ascii="Arial" w:hAnsi="Arial" w:cs="Arial"/>
                          </w:rPr>
                        </w:pPr>
                        <w:r>
                          <w:rPr>
                            <w:rFonts w:ascii="Arial" w:hAnsi="Arial" w:cs="Arial"/>
                          </w:rPr>
                          <w:t>-0.085</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ACTIVOS</w:t>
                        </w:r>
                      </w:p>
                    </w:tc>
                    <w:tc>
                      <w:tcPr>
                        <w:tcW w:w="892" w:type="dxa"/>
                      </w:tcPr>
                      <w:p w:rsidR="00000000" w:rsidRDefault="000E1CA1">
                        <w:pPr>
                          <w:jc w:val="right"/>
                          <w:rPr>
                            <w:rFonts w:ascii="Arial" w:hAnsi="Arial" w:cs="Arial"/>
                            <w:b/>
                            <w:bCs/>
                          </w:rPr>
                        </w:pPr>
                        <w:r>
                          <w:rPr>
                            <w:rFonts w:ascii="Arial" w:hAnsi="Arial" w:cs="Arial"/>
                            <w:b/>
                            <w:bCs/>
                          </w:rPr>
                          <w:t>0.942</w:t>
                        </w:r>
                      </w:p>
                    </w:tc>
                    <w:tc>
                      <w:tcPr>
                        <w:tcW w:w="1020" w:type="dxa"/>
                      </w:tcPr>
                      <w:p w:rsidR="00000000" w:rsidRDefault="000E1CA1">
                        <w:pPr>
                          <w:jc w:val="right"/>
                          <w:rPr>
                            <w:rFonts w:ascii="Arial" w:hAnsi="Arial" w:cs="Arial"/>
                          </w:rPr>
                        </w:pPr>
                        <w:r>
                          <w:rPr>
                            <w:rFonts w:ascii="Arial" w:hAnsi="Arial" w:cs="Arial"/>
                          </w:rPr>
                          <w:t>-0.322</w:t>
                        </w:r>
                      </w:p>
                    </w:tc>
                    <w:tc>
                      <w:tcPr>
                        <w:tcW w:w="844" w:type="dxa"/>
                      </w:tcPr>
                      <w:p w:rsidR="00000000" w:rsidRDefault="000E1CA1">
                        <w:pPr>
                          <w:jc w:val="right"/>
                          <w:rPr>
                            <w:rFonts w:ascii="Arial" w:hAnsi="Arial" w:cs="Arial"/>
                          </w:rPr>
                        </w:pPr>
                        <w:r>
                          <w:rPr>
                            <w:rFonts w:ascii="Arial" w:hAnsi="Arial" w:cs="Arial"/>
                          </w:rPr>
                          <w:t>-0.004</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PASIVOS</w:t>
                        </w:r>
                      </w:p>
                    </w:tc>
                    <w:tc>
                      <w:tcPr>
                        <w:tcW w:w="892" w:type="dxa"/>
                      </w:tcPr>
                      <w:p w:rsidR="00000000" w:rsidRDefault="000E1CA1">
                        <w:pPr>
                          <w:jc w:val="right"/>
                          <w:rPr>
                            <w:rFonts w:ascii="Arial" w:hAnsi="Arial" w:cs="Arial"/>
                            <w:b/>
                            <w:bCs/>
                          </w:rPr>
                        </w:pPr>
                        <w:r>
                          <w:rPr>
                            <w:rFonts w:ascii="Arial" w:hAnsi="Arial" w:cs="Arial"/>
                            <w:b/>
                            <w:bCs/>
                          </w:rPr>
                          <w:t>0.902</w:t>
                        </w:r>
                      </w:p>
                    </w:tc>
                    <w:tc>
                      <w:tcPr>
                        <w:tcW w:w="1020" w:type="dxa"/>
                      </w:tcPr>
                      <w:p w:rsidR="00000000" w:rsidRDefault="000E1CA1">
                        <w:pPr>
                          <w:jc w:val="right"/>
                          <w:rPr>
                            <w:rFonts w:ascii="Arial" w:hAnsi="Arial" w:cs="Arial"/>
                          </w:rPr>
                        </w:pPr>
                        <w:r>
                          <w:rPr>
                            <w:rFonts w:ascii="Arial" w:hAnsi="Arial" w:cs="Arial"/>
                          </w:rPr>
                          <w:t>-0.411</w:t>
                        </w:r>
                      </w:p>
                    </w:tc>
                    <w:tc>
                      <w:tcPr>
                        <w:tcW w:w="844" w:type="dxa"/>
                      </w:tcPr>
                      <w:p w:rsidR="00000000" w:rsidRDefault="000E1CA1">
                        <w:pPr>
                          <w:jc w:val="right"/>
                          <w:rPr>
                            <w:rFonts w:ascii="Arial" w:hAnsi="Arial" w:cs="Arial"/>
                          </w:rPr>
                        </w:pPr>
                        <w:r>
                          <w:rPr>
                            <w:rFonts w:ascii="Arial" w:hAnsi="Arial" w:cs="Arial"/>
                          </w:rPr>
                          <w:t>-0.052</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PATRIMONIO</w:t>
                        </w:r>
                      </w:p>
                    </w:tc>
                    <w:tc>
                      <w:tcPr>
                        <w:tcW w:w="892" w:type="dxa"/>
                      </w:tcPr>
                      <w:p w:rsidR="00000000" w:rsidRDefault="000E1CA1">
                        <w:pPr>
                          <w:jc w:val="right"/>
                          <w:rPr>
                            <w:rFonts w:ascii="Arial" w:hAnsi="Arial" w:cs="Arial"/>
                            <w:b/>
                            <w:bCs/>
                          </w:rPr>
                        </w:pPr>
                        <w:r>
                          <w:rPr>
                            <w:rFonts w:ascii="Arial" w:hAnsi="Arial" w:cs="Arial"/>
                            <w:b/>
                            <w:bCs/>
                          </w:rPr>
                          <w:t>0.981</w:t>
                        </w:r>
                      </w:p>
                    </w:tc>
                    <w:tc>
                      <w:tcPr>
                        <w:tcW w:w="1020" w:type="dxa"/>
                      </w:tcPr>
                      <w:p w:rsidR="00000000" w:rsidRDefault="000E1CA1">
                        <w:pPr>
                          <w:jc w:val="right"/>
                          <w:rPr>
                            <w:rFonts w:ascii="Arial" w:hAnsi="Arial" w:cs="Arial"/>
                          </w:rPr>
                        </w:pPr>
                        <w:r>
                          <w:rPr>
                            <w:rFonts w:ascii="Arial" w:hAnsi="Arial" w:cs="Arial"/>
                          </w:rPr>
                          <w:t>-0.131</w:t>
                        </w:r>
                      </w:p>
                    </w:tc>
                    <w:tc>
                      <w:tcPr>
                        <w:tcW w:w="844" w:type="dxa"/>
                      </w:tcPr>
                      <w:p w:rsidR="00000000" w:rsidRDefault="000E1CA1">
                        <w:pPr>
                          <w:jc w:val="right"/>
                          <w:rPr>
                            <w:rFonts w:ascii="Arial" w:hAnsi="Arial" w:cs="Arial"/>
                          </w:rPr>
                        </w:pPr>
                        <w:r>
                          <w:rPr>
                            <w:rFonts w:ascii="Arial" w:hAnsi="Arial" w:cs="Arial"/>
                          </w:rPr>
                          <w:t>0.091</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VENTAS</w:t>
                        </w:r>
                      </w:p>
                    </w:tc>
                    <w:tc>
                      <w:tcPr>
                        <w:tcW w:w="892" w:type="dxa"/>
                      </w:tcPr>
                      <w:p w:rsidR="00000000" w:rsidRDefault="000E1CA1">
                        <w:pPr>
                          <w:jc w:val="right"/>
                          <w:rPr>
                            <w:rFonts w:ascii="Arial" w:hAnsi="Arial" w:cs="Arial"/>
                            <w:b/>
                            <w:bCs/>
                          </w:rPr>
                        </w:pPr>
                        <w:r>
                          <w:rPr>
                            <w:rFonts w:ascii="Arial" w:hAnsi="Arial" w:cs="Arial"/>
                            <w:b/>
                            <w:bCs/>
                          </w:rPr>
                          <w:t>0.932</w:t>
                        </w:r>
                      </w:p>
                    </w:tc>
                    <w:tc>
                      <w:tcPr>
                        <w:tcW w:w="1020" w:type="dxa"/>
                      </w:tcPr>
                      <w:p w:rsidR="00000000" w:rsidRDefault="000E1CA1">
                        <w:pPr>
                          <w:jc w:val="right"/>
                          <w:rPr>
                            <w:rFonts w:ascii="Arial" w:hAnsi="Arial" w:cs="Arial"/>
                          </w:rPr>
                        </w:pPr>
                        <w:r>
                          <w:rPr>
                            <w:rFonts w:ascii="Arial" w:hAnsi="Arial" w:cs="Arial"/>
                          </w:rPr>
                          <w:t>-0.104</w:t>
                        </w:r>
                      </w:p>
                    </w:tc>
                    <w:tc>
                      <w:tcPr>
                        <w:tcW w:w="844" w:type="dxa"/>
                      </w:tcPr>
                      <w:p w:rsidR="00000000" w:rsidRDefault="000E1CA1">
                        <w:pPr>
                          <w:jc w:val="right"/>
                          <w:rPr>
                            <w:rFonts w:ascii="Arial" w:hAnsi="Arial" w:cs="Arial"/>
                          </w:rPr>
                        </w:pPr>
                        <w:r>
                          <w:rPr>
                            <w:rFonts w:ascii="Arial" w:hAnsi="Arial" w:cs="Arial"/>
                          </w:rPr>
                          <w:t>0.32</w:t>
                        </w:r>
                        <w:r>
                          <w:rPr>
                            <w:rFonts w:ascii="Arial" w:hAnsi="Arial" w:cs="Arial"/>
                          </w:rPr>
                          <w:t>6</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ENDEUDAMIENTO</w:t>
                        </w:r>
                      </w:p>
                    </w:tc>
                    <w:tc>
                      <w:tcPr>
                        <w:tcW w:w="892" w:type="dxa"/>
                      </w:tcPr>
                      <w:p w:rsidR="00000000" w:rsidRDefault="000E1CA1">
                        <w:pPr>
                          <w:jc w:val="right"/>
                          <w:rPr>
                            <w:rFonts w:ascii="Arial" w:hAnsi="Arial" w:cs="Arial"/>
                          </w:rPr>
                        </w:pPr>
                        <w:r>
                          <w:rPr>
                            <w:rFonts w:ascii="Arial" w:hAnsi="Arial" w:cs="Arial"/>
                          </w:rPr>
                          <w:t>-0.446</w:t>
                        </w:r>
                      </w:p>
                    </w:tc>
                    <w:tc>
                      <w:tcPr>
                        <w:tcW w:w="1020" w:type="dxa"/>
                      </w:tcPr>
                      <w:p w:rsidR="00000000" w:rsidRDefault="000E1CA1">
                        <w:pPr>
                          <w:jc w:val="right"/>
                          <w:rPr>
                            <w:rFonts w:ascii="Arial" w:hAnsi="Arial" w:cs="Arial"/>
                            <w:b/>
                            <w:bCs/>
                          </w:rPr>
                        </w:pPr>
                        <w:r>
                          <w:rPr>
                            <w:rFonts w:ascii="Arial" w:hAnsi="Arial" w:cs="Arial"/>
                            <w:b/>
                            <w:bCs/>
                          </w:rPr>
                          <w:t>-0.874</w:t>
                        </w:r>
                      </w:p>
                    </w:tc>
                    <w:tc>
                      <w:tcPr>
                        <w:tcW w:w="844" w:type="dxa"/>
                      </w:tcPr>
                      <w:p w:rsidR="00000000" w:rsidRDefault="000E1CA1">
                        <w:pPr>
                          <w:jc w:val="right"/>
                          <w:rPr>
                            <w:rFonts w:ascii="Arial" w:hAnsi="Arial" w:cs="Arial"/>
                          </w:rPr>
                        </w:pPr>
                        <w:r>
                          <w:rPr>
                            <w:rFonts w:ascii="Arial" w:hAnsi="Arial" w:cs="Arial"/>
                          </w:rPr>
                          <w:t>-0.025</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PART_DEUDAS</w:t>
                        </w:r>
                      </w:p>
                    </w:tc>
                    <w:tc>
                      <w:tcPr>
                        <w:tcW w:w="892" w:type="dxa"/>
                      </w:tcPr>
                      <w:p w:rsidR="00000000" w:rsidRDefault="000E1CA1">
                        <w:pPr>
                          <w:jc w:val="right"/>
                          <w:rPr>
                            <w:rFonts w:ascii="Arial" w:hAnsi="Arial" w:cs="Arial"/>
                          </w:rPr>
                        </w:pPr>
                        <w:r>
                          <w:rPr>
                            <w:rFonts w:ascii="Arial" w:hAnsi="Arial" w:cs="Arial"/>
                          </w:rPr>
                          <w:t>0.466</w:t>
                        </w:r>
                      </w:p>
                    </w:tc>
                    <w:tc>
                      <w:tcPr>
                        <w:tcW w:w="1020" w:type="dxa"/>
                      </w:tcPr>
                      <w:p w:rsidR="00000000" w:rsidRDefault="000E1CA1">
                        <w:pPr>
                          <w:jc w:val="right"/>
                          <w:rPr>
                            <w:rFonts w:ascii="Arial" w:hAnsi="Arial" w:cs="Arial"/>
                            <w:b/>
                            <w:bCs/>
                          </w:rPr>
                        </w:pPr>
                        <w:r>
                          <w:rPr>
                            <w:rFonts w:ascii="Arial" w:hAnsi="Arial" w:cs="Arial"/>
                            <w:b/>
                            <w:bCs/>
                          </w:rPr>
                          <w:t>0.874</w:t>
                        </w:r>
                      </w:p>
                    </w:tc>
                    <w:tc>
                      <w:tcPr>
                        <w:tcW w:w="844" w:type="dxa"/>
                      </w:tcPr>
                      <w:p w:rsidR="00000000" w:rsidRDefault="000E1CA1">
                        <w:pPr>
                          <w:jc w:val="right"/>
                          <w:rPr>
                            <w:rFonts w:ascii="Arial" w:hAnsi="Arial" w:cs="Arial"/>
                          </w:rPr>
                        </w:pPr>
                        <w:r>
                          <w:rPr>
                            <w:rFonts w:ascii="Arial" w:hAnsi="Arial" w:cs="Arial"/>
                          </w:rPr>
                          <w:t>0.012</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PART_ACCIONARIA</w:t>
                        </w:r>
                      </w:p>
                    </w:tc>
                    <w:tc>
                      <w:tcPr>
                        <w:tcW w:w="892" w:type="dxa"/>
                      </w:tcPr>
                      <w:p w:rsidR="00000000" w:rsidRDefault="000E1CA1">
                        <w:pPr>
                          <w:jc w:val="right"/>
                          <w:rPr>
                            <w:rFonts w:ascii="Arial" w:hAnsi="Arial" w:cs="Arial"/>
                          </w:rPr>
                        </w:pPr>
                        <w:r>
                          <w:rPr>
                            <w:rFonts w:ascii="Arial" w:hAnsi="Arial" w:cs="Arial"/>
                          </w:rPr>
                          <w:t>0.441</w:t>
                        </w:r>
                      </w:p>
                    </w:tc>
                    <w:tc>
                      <w:tcPr>
                        <w:tcW w:w="1020" w:type="dxa"/>
                      </w:tcPr>
                      <w:p w:rsidR="00000000" w:rsidRDefault="000E1CA1">
                        <w:pPr>
                          <w:jc w:val="right"/>
                          <w:rPr>
                            <w:rFonts w:ascii="Arial" w:hAnsi="Arial" w:cs="Arial"/>
                            <w:b/>
                            <w:bCs/>
                          </w:rPr>
                        </w:pPr>
                        <w:r>
                          <w:rPr>
                            <w:rFonts w:ascii="Arial" w:hAnsi="Arial" w:cs="Arial"/>
                            <w:b/>
                            <w:bCs/>
                          </w:rPr>
                          <w:t>0.891</w:t>
                        </w:r>
                      </w:p>
                    </w:tc>
                    <w:tc>
                      <w:tcPr>
                        <w:tcW w:w="844" w:type="dxa"/>
                      </w:tcPr>
                      <w:p w:rsidR="00000000" w:rsidRDefault="000E1CA1">
                        <w:pPr>
                          <w:jc w:val="right"/>
                          <w:rPr>
                            <w:rFonts w:ascii="Arial" w:hAnsi="Arial" w:cs="Arial"/>
                          </w:rPr>
                        </w:pPr>
                        <w:r>
                          <w:rPr>
                            <w:rFonts w:ascii="Arial" w:hAnsi="Arial" w:cs="Arial"/>
                          </w:rPr>
                          <w:t>0.047</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REN_ACTIVO</w:t>
                        </w:r>
                      </w:p>
                    </w:tc>
                    <w:tc>
                      <w:tcPr>
                        <w:tcW w:w="892" w:type="dxa"/>
                      </w:tcPr>
                      <w:p w:rsidR="00000000" w:rsidRDefault="000E1CA1">
                        <w:pPr>
                          <w:jc w:val="right"/>
                          <w:rPr>
                            <w:rFonts w:ascii="Arial" w:hAnsi="Arial" w:cs="Arial"/>
                          </w:rPr>
                        </w:pPr>
                        <w:r>
                          <w:rPr>
                            <w:rFonts w:ascii="Arial" w:hAnsi="Arial" w:cs="Arial"/>
                          </w:rPr>
                          <w:t>-0.377</w:t>
                        </w:r>
                      </w:p>
                    </w:tc>
                    <w:tc>
                      <w:tcPr>
                        <w:tcW w:w="1020" w:type="dxa"/>
                      </w:tcPr>
                      <w:p w:rsidR="00000000" w:rsidRDefault="000E1CA1">
                        <w:pPr>
                          <w:jc w:val="right"/>
                          <w:rPr>
                            <w:rFonts w:ascii="Arial" w:hAnsi="Arial" w:cs="Arial"/>
                            <w:b/>
                            <w:bCs/>
                          </w:rPr>
                        </w:pPr>
                        <w:r>
                          <w:rPr>
                            <w:rFonts w:ascii="Arial" w:hAnsi="Arial" w:cs="Arial"/>
                            <w:b/>
                            <w:bCs/>
                          </w:rPr>
                          <w:t>0.615</w:t>
                        </w:r>
                      </w:p>
                    </w:tc>
                    <w:tc>
                      <w:tcPr>
                        <w:tcW w:w="844" w:type="dxa"/>
                      </w:tcPr>
                      <w:p w:rsidR="00000000" w:rsidRDefault="000E1CA1">
                        <w:pPr>
                          <w:jc w:val="right"/>
                          <w:rPr>
                            <w:rFonts w:ascii="Arial" w:hAnsi="Arial" w:cs="Arial"/>
                          </w:rPr>
                        </w:pPr>
                        <w:r>
                          <w:rPr>
                            <w:rFonts w:ascii="Arial" w:hAnsi="Arial" w:cs="Arial"/>
                          </w:rPr>
                          <w:t>0.592</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REN_PATRIMONIO</w:t>
                        </w:r>
                      </w:p>
                    </w:tc>
                    <w:tc>
                      <w:tcPr>
                        <w:tcW w:w="892" w:type="dxa"/>
                      </w:tcPr>
                      <w:p w:rsidR="00000000" w:rsidRDefault="000E1CA1">
                        <w:pPr>
                          <w:jc w:val="right"/>
                          <w:rPr>
                            <w:rFonts w:ascii="Arial" w:hAnsi="Arial" w:cs="Arial"/>
                            <w:b/>
                            <w:bCs/>
                          </w:rPr>
                        </w:pPr>
                        <w:r>
                          <w:rPr>
                            <w:rFonts w:ascii="Arial" w:hAnsi="Arial" w:cs="Arial"/>
                            <w:b/>
                            <w:bCs/>
                          </w:rPr>
                          <w:t>-0.743</w:t>
                        </w:r>
                      </w:p>
                    </w:tc>
                    <w:tc>
                      <w:tcPr>
                        <w:tcW w:w="1020" w:type="dxa"/>
                      </w:tcPr>
                      <w:p w:rsidR="00000000" w:rsidRDefault="000E1CA1">
                        <w:pPr>
                          <w:jc w:val="right"/>
                          <w:rPr>
                            <w:rFonts w:ascii="Arial" w:hAnsi="Arial" w:cs="Arial"/>
                          </w:rPr>
                        </w:pPr>
                        <w:r>
                          <w:rPr>
                            <w:rFonts w:ascii="Arial" w:hAnsi="Arial" w:cs="Arial"/>
                          </w:rPr>
                          <w:t>-0.208</w:t>
                        </w:r>
                      </w:p>
                    </w:tc>
                    <w:tc>
                      <w:tcPr>
                        <w:tcW w:w="844" w:type="dxa"/>
                      </w:tcPr>
                      <w:p w:rsidR="00000000" w:rsidRDefault="000E1CA1">
                        <w:pPr>
                          <w:jc w:val="right"/>
                          <w:rPr>
                            <w:rFonts w:ascii="Arial" w:hAnsi="Arial" w:cs="Arial"/>
                          </w:rPr>
                        </w:pPr>
                        <w:r>
                          <w:rPr>
                            <w:rFonts w:ascii="Arial" w:hAnsi="Arial" w:cs="Arial"/>
                          </w:rPr>
                          <w:t>0.528</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PIB</w:t>
                        </w:r>
                      </w:p>
                    </w:tc>
                    <w:tc>
                      <w:tcPr>
                        <w:tcW w:w="892" w:type="dxa"/>
                      </w:tcPr>
                      <w:p w:rsidR="00000000" w:rsidRDefault="000E1CA1">
                        <w:pPr>
                          <w:jc w:val="right"/>
                          <w:rPr>
                            <w:rFonts w:ascii="Arial" w:hAnsi="Arial" w:cs="Arial"/>
                            <w:b/>
                            <w:bCs/>
                          </w:rPr>
                        </w:pPr>
                        <w:r>
                          <w:rPr>
                            <w:rFonts w:ascii="Arial" w:hAnsi="Arial" w:cs="Arial"/>
                            <w:b/>
                            <w:bCs/>
                          </w:rPr>
                          <w:t>0.895</w:t>
                        </w:r>
                      </w:p>
                    </w:tc>
                    <w:tc>
                      <w:tcPr>
                        <w:tcW w:w="1020" w:type="dxa"/>
                      </w:tcPr>
                      <w:p w:rsidR="00000000" w:rsidRDefault="000E1CA1">
                        <w:pPr>
                          <w:jc w:val="right"/>
                          <w:rPr>
                            <w:rFonts w:ascii="Arial" w:hAnsi="Arial" w:cs="Arial"/>
                          </w:rPr>
                        </w:pPr>
                        <w:r>
                          <w:rPr>
                            <w:rFonts w:ascii="Arial" w:hAnsi="Arial" w:cs="Arial"/>
                          </w:rPr>
                          <w:t>-0.054</w:t>
                        </w:r>
                      </w:p>
                    </w:tc>
                    <w:tc>
                      <w:tcPr>
                        <w:tcW w:w="844" w:type="dxa"/>
                      </w:tcPr>
                      <w:p w:rsidR="00000000" w:rsidRDefault="000E1CA1">
                        <w:pPr>
                          <w:jc w:val="right"/>
                          <w:rPr>
                            <w:rFonts w:ascii="Arial" w:hAnsi="Arial" w:cs="Arial"/>
                          </w:rPr>
                        </w:pPr>
                        <w:r>
                          <w:rPr>
                            <w:rFonts w:ascii="Arial" w:hAnsi="Arial" w:cs="Arial"/>
                          </w:rPr>
                          <w:t>0.318</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BALANZA</w:t>
                        </w:r>
                      </w:p>
                    </w:tc>
                    <w:tc>
                      <w:tcPr>
                        <w:tcW w:w="892" w:type="dxa"/>
                      </w:tcPr>
                      <w:p w:rsidR="00000000" w:rsidRDefault="000E1CA1">
                        <w:pPr>
                          <w:jc w:val="right"/>
                          <w:rPr>
                            <w:rFonts w:ascii="Arial" w:hAnsi="Arial" w:cs="Arial"/>
                          </w:rPr>
                        </w:pPr>
                        <w:r>
                          <w:rPr>
                            <w:rFonts w:ascii="Arial" w:hAnsi="Arial" w:cs="Arial"/>
                          </w:rPr>
                          <w:t>0.235</w:t>
                        </w:r>
                      </w:p>
                    </w:tc>
                    <w:tc>
                      <w:tcPr>
                        <w:tcW w:w="1020" w:type="dxa"/>
                      </w:tcPr>
                      <w:p w:rsidR="00000000" w:rsidRDefault="000E1CA1">
                        <w:pPr>
                          <w:jc w:val="right"/>
                          <w:rPr>
                            <w:rFonts w:ascii="Arial" w:hAnsi="Arial" w:cs="Arial"/>
                          </w:rPr>
                        </w:pPr>
                        <w:r>
                          <w:rPr>
                            <w:rFonts w:ascii="Arial" w:hAnsi="Arial" w:cs="Arial"/>
                          </w:rPr>
                          <w:t>0.244</w:t>
                        </w:r>
                      </w:p>
                    </w:tc>
                    <w:tc>
                      <w:tcPr>
                        <w:tcW w:w="844" w:type="dxa"/>
                      </w:tcPr>
                      <w:p w:rsidR="00000000" w:rsidRDefault="000E1CA1">
                        <w:pPr>
                          <w:jc w:val="right"/>
                          <w:rPr>
                            <w:rFonts w:ascii="Arial" w:hAnsi="Arial" w:cs="Arial"/>
                            <w:b/>
                            <w:bCs/>
                          </w:rPr>
                        </w:pPr>
                        <w:r>
                          <w:rPr>
                            <w:rFonts w:ascii="Arial" w:hAnsi="Arial" w:cs="Arial"/>
                            <w:b/>
                            <w:bCs/>
                          </w:rPr>
                          <w:t>-0.684</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DEUDA PRIVADA</w:t>
                        </w:r>
                      </w:p>
                    </w:tc>
                    <w:tc>
                      <w:tcPr>
                        <w:tcW w:w="892" w:type="dxa"/>
                      </w:tcPr>
                      <w:p w:rsidR="00000000" w:rsidRDefault="000E1CA1">
                        <w:pPr>
                          <w:jc w:val="right"/>
                          <w:rPr>
                            <w:rFonts w:ascii="Arial" w:hAnsi="Arial" w:cs="Arial"/>
                            <w:b/>
                            <w:bCs/>
                          </w:rPr>
                        </w:pPr>
                        <w:r>
                          <w:rPr>
                            <w:rFonts w:ascii="Arial" w:hAnsi="Arial" w:cs="Arial"/>
                            <w:b/>
                            <w:bCs/>
                          </w:rPr>
                          <w:t>0.769</w:t>
                        </w:r>
                      </w:p>
                    </w:tc>
                    <w:tc>
                      <w:tcPr>
                        <w:tcW w:w="1020" w:type="dxa"/>
                      </w:tcPr>
                      <w:p w:rsidR="00000000" w:rsidRDefault="000E1CA1">
                        <w:pPr>
                          <w:jc w:val="right"/>
                          <w:rPr>
                            <w:rFonts w:ascii="Arial" w:hAnsi="Arial" w:cs="Arial"/>
                          </w:rPr>
                        </w:pPr>
                        <w:r>
                          <w:rPr>
                            <w:rFonts w:ascii="Arial" w:hAnsi="Arial" w:cs="Arial"/>
                          </w:rPr>
                          <w:t>-0.450</w:t>
                        </w:r>
                      </w:p>
                    </w:tc>
                    <w:tc>
                      <w:tcPr>
                        <w:tcW w:w="844" w:type="dxa"/>
                      </w:tcPr>
                      <w:p w:rsidR="00000000" w:rsidRDefault="000E1CA1">
                        <w:pPr>
                          <w:jc w:val="right"/>
                          <w:rPr>
                            <w:rFonts w:ascii="Arial" w:hAnsi="Arial" w:cs="Arial"/>
                          </w:rPr>
                        </w:pPr>
                        <w:r>
                          <w:rPr>
                            <w:rFonts w:ascii="Arial" w:hAnsi="Arial" w:cs="Arial"/>
                          </w:rPr>
                          <w:t>0.247</w:t>
                        </w:r>
                      </w:p>
                    </w:tc>
                  </w:tr>
                </w:tbl>
                <w:p w:rsidR="00000000" w:rsidRDefault="000E1CA1"/>
              </w:txbxContent>
            </v:textbox>
          </v:shape>
        </w:pic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 xml:space="preserve">Podemos observar en la tabla XLII que el primer factor estaría compuesto por ocho variables, mientras para el resto de componentes son pequeñas y por esta razón se resta representatividad a las </w:t>
      </w:r>
      <w:r>
        <w:rPr>
          <w:rFonts w:ascii="Arial" w:hAnsi="Arial" w:cs="Arial"/>
        </w:rPr>
        <w:t xml:space="preserve">demás componentes. </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Con estos resultados observamos que la primera componente tiende a ser muy general agrupando variables significativas, mientras que las restantes se basan en cantidades muy pequeñas por ese motivo se torna difícil determinar a los co</w:t>
      </w:r>
      <w:r>
        <w:rPr>
          <w:rFonts w:ascii="Arial" w:hAnsi="Arial" w:cs="Arial"/>
        </w:rPr>
        <w:t>mponentes por la confusión entre los aportes de una misma variable a diferentes factores.</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Para este caso resulta beneficioso una rotación de factores, para el cual se utiliza “Varimax” que consiste en redistribuir la varianza a lo largo de todos los com</w:t>
      </w:r>
      <w:r>
        <w:rPr>
          <w:rFonts w:ascii="Arial" w:hAnsi="Arial" w:cs="Arial"/>
        </w:rPr>
        <w:t>ponentes en la matriz de carga.  Con esto simplificaríamos el modelo y obtendríamos resultados más claros para identificar los factores en cada componente.</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Con esta rotación obtenemos nuevos valores y vectores propios, también diferentes porcentajes de e</w:t>
      </w:r>
      <w:r>
        <w:rPr>
          <w:rFonts w:ascii="Arial" w:hAnsi="Arial" w:cs="Arial"/>
        </w:rPr>
        <w:t>xplicación, pero se mantiene la variación total de las 3 componentes la cual es 90.854%.</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r>
        <w:rPr>
          <w:rFonts w:ascii="Arial" w:hAnsi="Arial" w:cs="Arial"/>
        </w:rPr>
        <w:t>A continuación el porcentaje de explicación y la matriz de cargas de la matriz de correlación aplicando Varimax.</w:t>
      </w:r>
    </w:p>
    <w:p w:rsidR="00000000" w:rsidRDefault="000E1CA1">
      <w:pPr>
        <w:pStyle w:val="Encabezado"/>
        <w:tabs>
          <w:tab w:val="clear" w:pos="4252"/>
          <w:tab w:val="clear" w:pos="8504"/>
        </w:tabs>
        <w:spacing w:line="480" w:lineRule="auto"/>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p>
    <w:p w:rsidR="00000000" w:rsidRDefault="000E1CA1">
      <w:pPr>
        <w:pStyle w:val="Encabezado"/>
        <w:tabs>
          <w:tab w:val="clear" w:pos="4252"/>
          <w:tab w:val="clear" w:pos="8504"/>
        </w:tabs>
        <w:spacing w:line="480" w:lineRule="auto"/>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rect id="_x0000_s1157" style="position:absolute;left:0;text-align:left;margin-left:45pt;margin-top:9pt;width:369pt;height:2in;z-index:251723264"/>
        </w:pict>
      </w: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shape id="_x0000_s1158" type="#_x0000_t202" style="position:absolute;left:0;text-align:left;margin-left:54pt;margin-top:4.2pt;width:351pt;height:126pt;z-index:251724288" strokecolor="white">
            <v:textbox style="mso-next-textbox:#_x0000_s1158">
              <w:txbxContent>
                <w:p w:rsidR="00000000" w:rsidRDefault="000E1CA1">
                  <w:pPr>
                    <w:pStyle w:val="Ttulo3"/>
                    <w:jc w:val="center"/>
                    <w:rPr>
                      <w:rFonts w:ascii="Arial" w:hAnsi="Arial" w:cs="Arial"/>
                    </w:rPr>
                  </w:pPr>
                  <w:r>
                    <w:rPr>
                      <w:rFonts w:ascii="Arial" w:hAnsi="Arial" w:cs="Arial"/>
                    </w:rPr>
                    <w:t>Tabla XLIII</w:t>
                  </w:r>
                </w:p>
                <w:p w:rsidR="00000000" w:rsidRDefault="000E1CA1">
                  <w:pPr>
                    <w:pStyle w:val="Ttulo3"/>
                    <w:jc w:val="center"/>
                    <w:rPr>
                      <w:rFonts w:ascii="Arial" w:hAnsi="Arial" w:cs="Arial"/>
                    </w:rPr>
                  </w:pPr>
                  <w:r>
                    <w:rPr>
                      <w:rFonts w:ascii="Arial" w:hAnsi="Arial" w:cs="Arial"/>
                    </w:rPr>
                    <w:t>Matriz de correlación</w:t>
                  </w:r>
                </w:p>
                <w:p w:rsidR="00000000" w:rsidRDefault="000E1CA1">
                  <w:pPr>
                    <w:jc w:val="center"/>
                    <w:rPr>
                      <w:rFonts w:ascii="Arial" w:hAnsi="Arial" w:cs="Arial"/>
                      <w:b/>
                      <w:bCs/>
                    </w:rPr>
                  </w:pPr>
                  <w:r>
                    <w:rPr>
                      <w:rFonts w:ascii="Arial" w:hAnsi="Arial" w:cs="Arial"/>
                      <w:b/>
                      <w:bCs/>
                    </w:rPr>
                    <w:t>Porcentaje de explicación aplicando rotación</w:t>
                  </w:r>
                </w:p>
                <w:p w:rsidR="00000000" w:rsidRDefault="000E1CA1">
                  <w:pPr>
                    <w:jc w:val="center"/>
                    <w:rPr>
                      <w:b/>
                      <w:bC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8"/>
                    <w:gridCol w:w="1318"/>
                    <w:gridCol w:w="1541"/>
                    <w:gridCol w:w="1374"/>
                  </w:tblGrid>
                  <w:tr w:rsidR="00000000">
                    <w:tblPrEx>
                      <w:tblCellMar>
                        <w:top w:w="0" w:type="dxa"/>
                        <w:bottom w:w="0" w:type="dxa"/>
                      </w:tblCellMar>
                    </w:tblPrEx>
                    <w:tc>
                      <w:tcPr>
                        <w:tcW w:w="0" w:type="auto"/>
                      </w:tcPr>
                      <w:p w:rsidR="00000000" w:rsidRDefault="000E1CA1">
                        <w:pPr>
                          <w:jc w:val="center"/>
                          <w:rPr>
                            <w:rFonts w:ascii="Arial" w:hAnsi="Arial" w:cs="Arial"/>
                            <w:b/>
                            <w:bCs/>
                            <w:sz w:val="20"/>
                          </w:rPr>
                        </w:pPr>
                        <w:r>
                          <w:rPr>
                            <w:rFonts w:ascii="Arial" w:hAnsi="Arial" w:cs="Arial"/>
                            <w:b/>
                            <w:bCs/>
                            <w:sz w:val="20"/>
                          </w:rPr>
                          <w:t>No. componentes</w:t>
                        </w:r>
                      </w:p>
                    </w:tc>
                    <w:tc>
                      <w:tcPr>
                        <w:tcW w:w="0" w:type="auto"/>
                      </w:tcPr>
                      <w:p w:rsidR="00000000" w:rsidRDefault="000E1CA1">
                        <w:pPr>
                          <w:jc w:val="center"/>
                          <w:rPr>
                            <w:rFonts w:ascii="Arial" w:hAnsi="Arial" w:cs="Arial"/>
                            <w:b/>
                            <w:bCs/>
                            <w:sz w:val="20"/>
                          </w:rPr>
                        </w:pPr>
                        <w:r>
                          <w:rPr>
                            <w:rFonts w:ascii="Arial" w:hAnsi="Arial" w:cs="Arial"/>
                            <w:b/>
                            <w:bCs/>
                            <w:sz w:val="20"/>
                          </w:rPr>
                          <w:t>Valor propio</w:t>
                        </w:r>
                      </w:p>
                    </w:tc>
                    <w:tc>
                      <w:tcPr>
                        <w:tcW w:w="0" w:type="auto"/>
                      </w:tcPr>
                      <w:p w:rsidR="00000000" w:rsidRDefault="000E1CA1">
                        <w:pPr>
                          <w:jc w:val="center"/>
                          <w:rPr>
                            <w:rFonts w:ascii="Arial" w:hAnsi="Arial" w:cs="Arial"/>
                            <w:b/>
                            <w:bCs/>
                            <w:sz w:val="20"/>
                          </w:rPr>
                        </w:pPr>
                        <w:r>
                          <w:rPr>
                            <w:rFonts w:ascii="Arial" w:hAnsi="Arial" w:cs="Arial"/>
                            <w:b/>
                            <w:bCs/>
                            <w:sz w:val="20"/>
                          </w:rPr>
                          <w:t>% de variación</w:t>
                        </w:r>
                      </w:p>
                    </w:tc>
                    <w:tc>
                      <w:tcPr>
                        <w:tcW w:w="0" w:type="auto"/>
                      </w:tcPr>
                      <w:p w:rsidR="00000000" w:rsidRDefault="000E1CA1">
                        <w:pPr>
                          <w:jc w:val="center"/>
                          <w:rPr>
                            <w:rFonts w:ascii="Arial" w:hAnsi="Arial" w:cs="Arial"/>
                            <w:b/>
                            <w:bCs/>
                            <w:sz w:val="20"/>
                          </w:rPr>
                        </w:pPr>
                        <w:r>
                          <w:rPr>
                            <w:rFonts w:ascii="Arial" w:hAnsi="Arial" w:cs="Arial"/>
                            <w:b/>
                            <w:bCs/>
                            <w:sz w:val="20"/>
                          </w:rPr>
                          <w:t>%acumulado</w:t>
                        </w:r>
                      </w:p>
                    </w:tc>
                  </w:tr>
                  <w:tr w:rsidR="00000000">
                    <w:tblPrEx>
                      <w:tblCellMar>
                        <w:top w:w="0" w:type="dxa"/>
                        <w:bottom w:w="0" w:type="dxa"/>
                      </w:tblCellMar>
                    </w:tblPrEx>
                    <w:tc>
                      <w:tcPr>
                        <w:tcW w:w="0" w:type="auto"/>
                      </w:tcPr>
                      <w:p w:rsidR="00000000" w:rsidRDefault="000E1CA1">
                        <w:pPr>
                          <w:jc w:val="center"/>
                          <w:rPr>
                            <w:rFonts w:ascii="Arial" w:hAnsi="Arial" w:cs="Arial"/>
                          </w:rPr>
                        </w:pPr>
                        <w:r>
                          <w:rPr>
                            <w:rFonts w:ascii="Arial" w:hAnsi="Arial" w:cs="Arial"/>
                          </w:rPr>
                          <w:t>1</w:t>
                        </w:r>
                      </w:p>
                    </w:tc>
                    <w:tc>
                      <w:tcPr>
                        <w:tcW w:w="0" w:type="auto"/>
                      </w:tcPr>
                      <w:p w:rsidR="00000000" w:rsidRDefault="000E1CA1">
                        <w:pPr>
                          <w:jc w:val="right"/>
                          <w:rPr>
                            <w:rFonts w:ascii="Arial" w:hAnsi="Arial" w:cs="Arial"/>
                          </w:rPr>
                        </w:pPr>
                        <w:r>
                          <w:rPr>
                            <w:rFonts w:ascii="Arial" w:hAnsi="Arial" w:cs="Arial"/>
                          </w:rPr>
                          <w:t>6.243</w:t>
                        </w:r>
                      </w:p>
                    </w:tc>
                    <w:tc>
                      <w:tcPr>
                        <w:tcW w:w="0" w:type="auto"/>
                      </w:tcPr>
                      <w:p w:rsidR="00000000" w:rsidRDefault="000E1CA1">
                        <w:pPr>
                          <w:jc w:val="right"/>
                          <w:rPr>
                            <w:rFonts w:ascii="Arial" w:hAnsi="Arial" w:cs="Arial"/>
                          </w:rPr>
                        </w:pPr>
                        <w:r>
                          <w:rPr>
                            <w:rFonts w:ascii="Arial" w:hAnsi="Arial" w:cs="Arial"/>
                          </w:rPr>
                          <w:t>48.021</w:t>
                        </w:r>
                      </w:p>
                    </w:tc>
                    <w:tc>
                      <w:tcPr>
                        <w:tcW w:w="0" w:type="auto"/>
                      </w:tcPr>
                      <w:p w:rsidR="00000000" w:rsidRDefault="000E1CA1">
                        <w:pPr>
                          <w:jc w:val="right"/>
                          <w:rPr>
                            <w:rFonts w:ascii="Arial" w:hAnsi="Arial" w:cs="Arial"/>
                          </w:rPr>
                        </w:pPr>
                        <w:r>
                          <w:rPr>
                            <w:rFonts w:ascii="Arial" w:hAnsi="Arial" w:cs="Arial"/>
                          </w:rPr>
                          <w:t>48.021</w:t>
                        </w:r>
                      </w:p>
                    </w:tc>
                  </w:tr>
                  <w:tr w:rsidR="00000000">
                    <w:tblPrEx>
                      <w:tblCellMar>
                        <w:top w:w="0" w:type="dxa"/>
                        <w:bottom w:w="0" w:type="dxa"/>
                      </w:tblCellMar>
                    </w:tblPrEx>
                    <w:tc>
                      <w:tcPr>
                        <w:tcW w:w="0" w:type="auto"/>
                      </w:tcPr>
                      <w:p w:rsidR="00000000" w:rsidRDefault="000E1CA1">
                        <w:pPr>
                          <w:jc w:val="center"/>
                          <w:rPr>
                            <w:rFonts w:ascii="Arial" w:hAnsi="Arial" w:cs="Arial"/>
                          </w:rPr>
                        </w:pPr>
                        <w:r>
                          <w:rPr>
                            <w:rFonts w:ascii="Arial" w:hAnsi="Arial" w:cs="Arial"/>
                          </w:rPr>
                          <w:t>2</w:t>
                        </w:r>
                      </w:p>
                    </w:tc>
                    <w:tc>
                      <w:tcPr>
                        <w:tcW w:w="0" w:type="auto"/>
                      </w:tcPr>
                      <w:p w:rsidR="00000000" w:rsidRDefault="000E1CA1">
                        <w:pPr>
                          <w:jc w:val="right"/>
                          <w:rPr>
                            <w:rFonts w:ascii="Arial" w:hAnsi="Arial" w:cs="Arial"/>
                          </w:rPr>
                        </w:pPr>
                        <w:r>
                          <w:rPr>
                            <w:rFonts w:ascii="Arial" w:hAnsi="Arial" w:cs="Arial"/>
                          </w:rPr>
                          <w:t>3.670</w:t>
                        </w:r>
                      </w:p>
                    </w:tc>
                    <w:tc>
                      <w:tcPr>
                        <w:tcW w:w="0" w:type="auto"/>
                      </w:tcPr>
                      <w:p w:rsidR="00000000" w:rsidRDefault="000E1CA1">
                        <w:pPr>
                          <w:jc w:val="right"/>
                          <w:rPr>
                            <w:rFonts w:ascii="Arial" w:hAnsi="Arial" w:cs="Arial"/>
                          </w:rPr>
                        </w:pPr>
                        <w:r>
                          <w:rPr>
                            <w:rFonts w:ascii="Arial" w:hAnsi="Arial" w:cs="Arial"/>
                          </w:rPr>
                          <w:t>28.234</w:t>
                        </w:r>
                      </w:p>
                    </w:tc>
                    <w:tc>
                      <w:tcPr>
                        <w:tcW w:w="0" w:type="auto"/>
                      </w:tcPr>
                      <w:p w:rsidR="00000000" w:rsidRDefault="000E1CA1">
                        <w:pPr>
                          <w:jc w:val="right"/>
                          <w:rPr>
                            <w:rFonts w:ascii="Arial" w:hAnsi="Arial" w:cs="Arial"/>
                          </w:rPr>
                        </w:pPr>
                        <w:r>
                          <w:rPr>
                            <w:rFonts w:ascii="Arial" w:hAnsi="Arial" w:cs="Arial"/>
                          </w:rPr>
                          <w:t>76.255</w:t>
                        </w:r>
                      </w:p>
                    </w:tc>
                  </w:tr>
                  <w:tr w:rsidR="00000000">
                    <w:tblPrEx>
                      <w:tblCellMar>
                        <w:top w:w="0" w:type="dxa"/>
                        <w:bottom w:w="0" w:type="dxa"/>
                      </w:tblCellMar>
                    </w:tblPrEx>
                    <w:tc>
                      <w:tcPr>
                        <w:tcW w:w="0" w:type="auto"/>
                      </w:tcPr>
                      <w:p w:rsidR="00000000" w:rsidRDefault="000E1CA1">
                        <w:pPr>
                          <w:jc w:val="center"/>
                          <w:rPr>
                            <w:rFonts w:ascii="Arial" w:hAnsi="Arial" w:cs="Arial"/>
                          </w:rPr>
                        </w:pPr>
                        <w:r>
                          <w:rPr>
                            <w:rFonts w:ascii="Arial" w:hAnsi="Arial" w:cs="Arial"/>
                          </w:rPr>
                          <w:t>3</w:t>
                        </w:r>
                      </w:p>
                    </w:tc>
                    <w:tc>
                      <w:tcPr>
                        <w:tcW w:w="0" w:type="auto"/>
                      </w:tcPr>
                      <w:p w:rsidR="00000000" w:rsidRDefault="000E1CA1">
                        <w:pPr>
                          <w:jc w:val="right"/>
                          <w:rPr>
                            <w:rFonts w:ascii="Arial" w:hAnsi="Arial" w:cs="Arial"/>
                          </w:rPr>
                        </w:pPr>
                        <w:r>
                          <w:rPr>
                            <w:rFonts w:ascii="Arial" w:hAnsi="Arial" w:cs="Arial"/>
                          </w:rPr>
                          <w:t>1.898</w:t>
                        </w:r>
                      </w:p>
                    </w:tc>
                    <w:tc>
                      <w:tcPr>
                        <w:tcW w:w="0" w:type="auto"/>
                      </w:tcPr>
                      <w:p w:rsidR="00000000" w:rsidRDefault="000E1CA1">
                        <w:pPr>
                          <w:jc w:val="right"/>
                          <w:rPr>
                            <w:rFonts w:ascii="Arial" w:hAnsi="Arial" w:cs="Arial"/>
                          </w:rPr>
                        </w:pPr>
                        <w:r>
                          <w:rPr>
                            <w:rFonts w:ascii="Arial" w:hAnsi="Arial" w:cs="Arial"/>
                          </w:rPr>
                          <w:t>14.599</w:t>
                        </w:r>
                      </w:p>
                    </w:tc>
                    <w:tc>
                      <w:tcPr>
                        <w:tcW w:w="0" w:type="auto"/>
                      </w:tcPr>
                      <w:p w:rsidR="00000000" w:rsidRDefault="000E1CA1">
                        <w:pPr>
                          <w:jc w:val="right"/>
                          <w:rPr>
                            <w:rFonts w:ascii="Arial" w:hAnsi="Arial" w:cs="Arial"/>
                          </w:rPr>
                        </w:pPr>
                        <w:r>
                          <w:rPr>
                            <w:rFonts w:ascii="Arial" w:hAnsi="Arial" w:cs="Arial"/>
                          </w:rPr>
                          <w:t>90.854</w:t>
                        </w:r>
                      </w:p>
                    </w:tc>
                  </w:tr>
                </w:tbl>
                <w:p w:rsidR="00000000" w:rsidRDefault="000E1CA1">
                  <w:pPr>
                    <w:jc w:val="center"/>
                    <w:rPr>
                      <w:b/>
                      <w:bCs/>
                    </w:rPr>
                  </w:pPr>
                </w:p>
              </w:txbxContent>
            </v:textbox>
          </v:shape>
        </w:pic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Podemos observar en la matriz de</w:t>
      </w:r>
      <w:r>
        <w:rPr>
          <w:rFonts w:ascii="Arial" w:hAnsi="Arial" w:cs="Arial"/>
        </w:rPr>
        <w:t xml:space="preserve"> carga aplicando el método de Varimax, una nueva y clara agrupación de patrones donde prevalecen variables que definen nuestro factor. </w: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rect id="_x0000_s1159" style="position:absolute;left:0;text-align:left;margin-left:45pt;margin-top:8.4pt;width:369pt;height:288.6pt;z-index:251725312"/>
        </w:pict>
      </w:r>
    </w:p>
    <w:p w:rsidR="00000000" w:rsidRDefault="000E1CA1">
      <w:pPr>
        <w:pStyle w:val="Encabezado"/>
        <w:tabs>
          <w:tab w:val="clear" w:pos="4252"/>
          <w:tab w:val="clear" w:pos="8504"/>
        </w:tabs>
        <w:ind w:left="902"/>
        <w:jc w:val="both"/>
        <w:rPr>
          <w:rFonts w:ascii="Arial" w:hAnsi="Arial" w:cs="Arial"/>
        </w:rPr>
      </w:pPr>
      <w:r>
        <w:rPr>
          <w:rFonts w:ascii="Arial" w:hAnsi="Arial" w:cs="Arial"/>
          <w:noProof/>
          <w:sz w:val="20"/>
        </w:rPr>
        <w:pict>
          <v:shape id="_x0000_s1160" type="#_x0000_t202" style="position:absolute;left:0;text-align:left;margin-left:54pt;margin-top:3.6pt;width:351pt;height:270.6pt;z-index:251726336" strokecolor="white">
            <v:textbox style="mso-next-textbox:#_x0000_s1160">
              <w:txbxContent>
                <w:p w:rsidR="00000000" w:rsidRDefault="000E1CA1">
                  <w:pPr>
                    <w:pStyle w:val="Ttulo3"/>
                    <w:jc w:val="center"/>
                    <w:rPr>
                      <w:rFonts w:ascii="Arial" w:hAnsi="Arial" w:cs="Arial"/>
                    </w:rPr>
                  </w:pPr>
                  <w:r>
                    <w:rPr>
                      <w:rFonts w:ascii="Arial" w:hAnsi="Arial" w:cs="Arial"/>
                    </w:rPr>
                    <w:t>Tabla XLIV</w:t>
                  </w:r>
                </w:p>
                <w:p w:rsidR="00000000" w:rsidRDefault="000E1CA1">
                  <w:pPr>
                    <w:jc w:val="center"/>
                    <w:rPr>
                      <w:rFonts w:ascii="Arial" w:hAnsi="Arial" w:cs="Arial"/>
                      <w:b/>
                      <w:bCs/>
                    </w:rPr>
                  </w:pPr>
                  <w:r>
                    <w:rPr>
                      <w:rFonts w:ascii="Arial" w:hAnsi="Arial" w:cs="Arial"/>
                      <w:b/>
                      <w:bCs/>
                    </w:rPr>
                    <w:t>Matriz de correlación</w:t>
                  </w:r>
                </w:p>
                <w:p w:rsidR="00000000" w:rsidRDefault="000E1CA1">
                  <w:pPr>
                    <w:jc w:val="center"/>
                    <w:rPr>
                      <w:rFonts w:ascii="Arial" w:hAnsi="Arial" w:cs="Arial"/>
                      <w:b/>
                      <w:bCs/>
                    </w:rPr>
                  </w:pPr>
                  <w:r>
                    <w:rPr>
                      <w:rFonts w:ascii="Arial" w:hAnsi="Arial" w:cs="Arial"/>
                      <w:b/>
                      <w:bCs/>
                    </w:rPr>
                    <w:t>Matriz de ca</w:t>
                  </w:r>
                  <w:r>
                    <w:rPr>
                      <w:rFonts w:ascii="Arial" w:hAnsi="Arial" w:cs="Arial"/>
                      <w:b/>
                      <w:bCs/>
                    </w:rPr>
                    <w:t>rga (VARIMAX)</w:t>
                  </w:r>
                </w:p>
                <w:p w:rsidR="00000000" w:rsidRDefault="000E1CA1">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7"/>
                    <w:gridCol w:w="892"/>
                    <w:gridCol w:w="994"/>
                    <w:gridCol w:w="960"/>
                  </w:tblGrid>
                  <w:tr w:rsidR="00000000">
                    <w:tblPrEx>
                      <w:tblCellMar>
                        <w:top w:w="0" w:type="dxa"/>
                        <w:bottom w:w="0" w:type="dxa"/>
                      </w:tblCellMar>
                    </w:tblPrEx>
                    <w:trPr>
                      <w:jc w:val="center"/>
                    </w:trPr>
                    <w:tc>
                      <w:tcPr>
                        <w:tcW w:w="2267" w:type="dxa"/>
                      </w:tcPr>
                      <w:p w:rsidR="00000000" w:rsidRDefault="000E1CA1">
                        <w:pPr>
                          <w:jc w:val="center"/>
                          <w:rPr>
                            <w:rFonts w:ascii="Arial" w:hAnsi="Arial" w:cs="Arial"/>
                            <w:b/>
                            <w:bCs/>
                          </w:rPr>
                        </w:pPr>
                      </w:p>
                    </w:tc>
                    <w:tc>
                      <w:tcPr>
                        <w:tcW w:w="892" w:type="dxa"/>
                      </w:tcPr>
                      <w:p w:rsidR="00000000" w:rsidRDefault="000E1CA1">
                        <w:pPr>
                          <w:jc w:val="center"/>
                          <w:rPr>
                            <w:b/>
                            <w:bCs/>
                          </w:rPr>
                        </w:pPr>
                        <w:r>
                          <w:rPr>
                            <w:b/>
                            <w:bCs/>
                          </w:rPr>
                          <w:t>1</w:t>
                        </w:r>
                      </w:p>
                    </w:tc>
                    <w:tc>
                      <w:tcPr>
                        <w:tcW w:w="994" w:type="dxa"/>
                      </w:tcPr>
                      <w:p w:rsidR="00000000" w:rsidRDefault="000E1CA1">
                        <w:pPr>
                          <w:jc w:val="center"/>
                          <w:rPr>
                            <w:b/>
                            <w:bCs/>
                          </w:rPr>
                        </w:pPr>
                        <w:r>
                          <w:rPr>
                            <w:b/>
                            <w:bCs/>
                          </w:rPr>
                          <w:t>2</w:t>
                        </w:r>
                      </w:p>
                    </w:tc>
                    <w:tc>
                      <w:tcPr>
                        <w:tcW w:w="960" w:type="dxa"/>
                      </w:tcPr>
                      <w:p w:rsidR="00000000" w:rsidRDefault="000E1CA1">
                        <w:pPr>
                          <w:jc w:val="center"/>
                          <w:rPr>
                            <w:b/>
                            <w:bCs/>
                          </w:rPr>
                        </w:pPr>
                        <w:r>
                          <w:rPr>
                            <w:b/>
                            <w:bCs/>
                          </w:rPr>
                          <w:t>3</w:t>
                        </w:r>
                      </w:p>
                    </w:tc>
                  </w:tr>
                  <w:tr w:rsidR="00000000">
                    <w:tblPrEx>
                      <w:tblCellMar>
                        <w:top w:w="0" w:type="dxa"/>
                        <w:bottom w:w="0" w:type="dxa"/>
                      </w:tblCellMar>
                    </w:tblPrEx>
                    <w:trPr>
                      <w:jc w:val="center"/>
                    </w:trPr>
                    <w:tc>
                      <w:tcPr>
                        <w:tcW w:w="2267" w:type="dxa"/>
                      </w:tcPr>
                      <w:p w:rsidR="00000000" w:rsidRDefault="000E1CA1">
                        <w:pPr>
                          <w:pStyle w:val="Ttulo2"/>
                        </w:pPr>
                        <w:r>
                          <w:t xml:space="preserve">No. </w:t>
                        </w:r>
                        <w:r>
                          <w:rPr>
                            <w:rFonts w:ascii="Arial" w:hAnsi="Arial" w:cs="Arial"/>
                            <w:sz w:val="22"/>
                          </w:rPr>
                          <w:t>DE COMPAÑÍAS</w:t>
                        </w:r>
                      </w:p>
                    </w:tc>
                    <w:tc>
                      <w:tcPr>
                        <w:tcW w:w="892" w:type="dxa"/>
                      </w:tcPr>
                      <w:p w:rsidR="00000000" w:rsidRDefault="000E1CA1">
                        <w:pPr>
                          <w:jc w:val="right"/>
                          <w:rPr>
                            <w:rFonts w:ascii="Arial" w:hAnsi="Arial" w:cs="Arial"/>
                            <w:b/>
                            <w:bCs/>
                          </w:rPr>
                        </w:pPr>
                        <w:r>
                          <w:rPr>
                            <w:rFonts w:ascii="Arial" w:hAnsi="Arial" w:cs="Arial"/>
                            <w:b/>
                            <w:bCs/>
                          </w:rPr>
                          <w:t>0.744</w:t>
                        </w:r>
                      </w:p>
                    </w:tc>
                    <w:tc>
                      <w:tcPr>
                        <w:tcW w:w="994" w:type="dxa"/>
                      </w:tcPr>
                      <w:p w:rsidR="00000000" w:rsidRDefault="000E1CA1">
                        <w:pPr>
                          <w:jc w:val="right"/>
                          <w:rPr>
                            <w:rFonts w:ascii="Arial" w:hAnsi="Arial" w:cs="Arial"/>
                          </w:rPr>
                        </w:pPr>
                        <w:r>
                          <w:rPr>
                            <w:rFonts w:ascii="Arial" w:hAnsi="Arial" w:cs="Arial"/>
                          </w:rPr>
                          <w:t>0.402</w:t>
                        </w:r>
                      </w:p>
                    </w:tc>
                    <w:tc>
                      <w:tcPr>
                        <w:tcW w:w="960" w:type="dxa"/>
                      </w:tcPr>
                      <w:p w:rsidR="00000000" w:rsidRDefault="000E1CA1">
                        <w:pPr>
                          <w:jc w:val="right"/>
                          <w:rPr>
                            <w:rFonts w:ascii="Arial" w:hAnsi="Arial" w:cs="Arial"/>
                          </w:rPr>
                        </w:pPr>
                        <w:r>
                          <w:rPr>
                            <w:rFonts w:ascii="Arial" w:hAnsi="Arial" w:cs="Arial"/>
                          </w:rPr>
                          <w:t>0.354</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ACTIVOS</w:t>
                        </w:r>
                      </w:p>
                    </w:tc>
                    <w:tc>
                      <w:tcPr>
                        <w:tcW w:w="892" w:type="dxa"/>
                      </w:tcPr>
                      <w:p w:rsidR="00000000" w:rsidRDefault="000E1CA1">
                        <w:pPr>
                          <w:jc w:val="right"/>
                          <w:rPr>
                            <w:rFonts w:ascii="Arial" w:hAnsi="Arial" w:cs="Arial"/>
                            <w:b/>
                            <w:bCs/>
                          </w:rPr>
                        </w:pPr>
                        <w:r>
                          <w:rPr>
                            <w:rFonts w:ascii="Arial" w:hAnsi="Arial" w:cs="Arial"/>
                            <w:b/>
                            <w:bCs/>
                          </w:rPr>
                          <w:t>0.955</w:t>
                        </w:r>
                      </w:p>
                    </w:tc>
                    <w:tc>
                      <w:tcPr>
                        <w:tcW w:w="994" w:type="dxa"/>
                      </w:tcPr>
                      <w:p w:rsidR="00000000" w:rsidRDefault="000E1CA1">
                        <w:pPr>
                          <w:jc w:val="right"/>
                          <w:rPr>
                            <w:rFonts w:ascii="Arial" w:hAnsi="Arial" w:cs="Arial"/>
                          </w:rPr>
                        </w:pPr>
                        <w:r>
                          <w:rPr>
                            <w:rFonts w:ascii="Arial" w:hAnsi="Arial" w:cs="Arial"/>
                          </w:rPr>
                          <w:t>-0.007</w:t>
                        </w:r>
                      </w:p>
                    </w:tc>
                    <w:tc>
                      <w:tcPr>
                        <w:tcW w:w="960" w:type="dxa"/>
                      </w:tcPr>
                      <w:p w:rsidR="00000000" w:rsidRDefault="000E1CA1">
                        <w:pPr>
                          <w:jc w:val="right"/>
                          <w:rPr>
                            <w:rFonts w:ascii="Arial" w:hAnsi="Arial" w:cs="Arial"/>
                          </w:rPr>
                        </w:pPr>
                        <w:r>
                          <w:rPr>
                            <w:rFonts w:ascii="Arial" w:hAnsi="Arial" w:cs="Arial"/>
                          </w:rPr>
                          <w:t>0.278</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PASIVOS</w:t>
                        </w:r>
                      </w:p>
                    </w:tc>
                    <w:tc>
                      <w:tcPr>
                        <w:tcW w:w="892" w:type="dxa"/>
                      </w:tcPr>
                      <w:p w:rsidR="00000000" w:rsidRDefault="000E1CA1">
                        <w:pPr>
                          <w:jc w:val="right"/>
                          <w:rPr>
                            <w:rFonts w:ascii="Arial" w:hAnsi="Arial" w:cs="Arial"/>
                            <w:b/>
                            <w:bCs/>
                          </w:rPr>
                        </w:pPr>
                        <w:r>
                          <w:rPr>
                            <w:rFonts w:ascii="Arial" w:hAnsi="Arial" w:cs="Arial"/>
                            <w:b/>
                            <w:bCs/>
                          </w:rPr>
                          <w:t>0.936</w:t>
                        </w:r>
                      </w:p>
                    </w:tc>
                    <w:tc>
                      <w:tcPr>
                        <w:tcW w:w="994" w:type="dxa"/>
                      </w:tcPr>
                      <w:p w:rsidR="00000000" w:rsidRDefault="000E1CA1">
                        <w:pPr>
                          <w:jc w:val="right"/>
                          <w:rPr>
                            <w:rFonts w:ascii="Arial" w:hAnsi="Arial" w:cs="Arial"/>
                          </w:rPr>
                        </w:pPr>
                        <w:r>
                          <w:rPr>
                            <w:rFonts w:ascii="Arial" w:hAnsi="Arial" w:cs="Arial"/>
                          </w:rPr>
                          <w:t>-0.110</w:t>
                        </w:r>
                      </w:p>
                    </w:tc>
                    <w:tc>
                      <w:tcPr>
                        <w:tcW w:w="960" w:type="dxa"/>
                      </w:tcPr>
                      <w:p w:rsidR="00000000" w:rsidRDefault="000E1CA1">
                        <w:pPr>
                          <w:jc w:val="right"/>
                          <w:rPr>
                            <w:rFonts w:ascii="Arial" w:hAnsi="Arial" w:cs="Arial"/>
                          </w:rPr>
                        </w:pPr>
                        <w:r>
                          <w:rPr>
                            <w:rFonts w:ascii="Arial" w:hAnsi="Arial" w:cs="Arial"/>
                          </w:rPr>
                          <w:t>0.310</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PATRIMONIO</w:t>
                        </w:r>
                      </w:p>
                    </w:tc>
                    <w:tc>
                      <w:tcPr>
                        <w:tcW w:w="892" w:type="dxa"/>
                      </w:tcPr>
                      <w:p w:rsidR="00000000" w:rsidRDefault="000E1CA1">
                        <w:pPr>
                          <w:jc w:val="right"/>
                          <w:rPr>
                            <w:rFonts w:ascii="Arial" w:hAnsi="Arial" w:cs="Arial"/>
                            <w:b/>
                            <w:bCs/>
                          </w:rPr>
                        </w:pPr>
                        <w:r>
                          <w:rPr>
                            <w:rFonts w:ascii="Arial" w:hAnsi="Arial" w:cs="Arial"/>
                            <w:b/>
                            <w:bCs/>
                          </w:rPr>
                          <w:t>0.953</w:t>
                        </w:r>
                      </w:p>
                    </w:tc>
                    <w:tc>
                      <w:tcPr>
                        <w:tcW w:w="994" w:type="dxa"/>
                      </w:tcPr>
                      <w:p w:rsidR="00000000" w:rsidRDefault="000E1CA1">
                        <w:pPr>
                          <w:jc w:val="right"/>
                          <w:rPr>
                            <w:rFonts w:ascii="Arial" w:hAnsi="Arial" w:cs="Arial"/>
                          </w:rPr>
                        </w:pPr>
                        <w:r>
                          <w:rPr>
                            <w:rFonts w:ascii="Arial" w:hAnsi="Arial" w:cs="Arial"/>
                          </w:rPr>
                          <w:t>0.196</w:t>
                        </w:r>
                      </w:p>
                    </w:tc>
                    <w:tc>
                      <w:tcPr>
                        <w:tcW w:w="960" w:type="dxa"/>
                      </w:tcPr>
                      <w:p w:rsidR="00000000" w:rsidRDefault="000E1CA1">
                        <w:pPr>
                          <w:jc w:val="right"/>
                          <w:rPr>
                            <w:rFonts w:ascii="Arial" w:hAnsi="Arial" w:cs="Arial"/>
                          </w:rPr>
                        </w:pPr>
                        <w:r>
                          <w:rPr>
                            <w:rFonts w:ascii="Arial" w:hAnsi="Arial" w:cs="Arial"/>
                          </w:rPr>
                          <w:t>0.203</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VENTAS</w:t>
                        </w:r>
                      </w:p>
                    </w:tc>
                    <w:tc>
                      <w:tcPr>
                        <w:tcW w:w="892" w:type="dxa"/>
                      </w:tcPr>
                      <w:p w:rsidR="00000000" w:rsidRDefault="000E1CA1">
                        <w:pPr>
                          <w:jc w:val="right"/>
                          <w:rPr>
                            <w:rFonts w:ascii="Arial" w:hAnsi="Arial" w:cs="Arial"/>
                            <w:b/>
                            <w:bCs/>
                          </w:rPr>
                        </w:pPr>
                        <w:r>
                          <w:rPr>
                            <w:rFonts w:ascii="Arial" w:hAnsi="Arial" w:cs="Arial"/>
                            <w:b/>
                            <w:bCs/>
                          </w:rPr>
                          <w:t>0.964</w:t>
                        </w:r>
                      </w:p>
                    </w:tc>
                    <w:tc>
                      <w:tcPr>
                        <w:tcW w:w="994" w:type="dxa"/>
                      </w:tcPr>
                      <w:p w:rsidR="00000000" w:rsidRDefault="000E1CA1">
                        <w:pPr>
                          <w:jc w:val="right"/>
                          <w:rPr>
                            <w:rFonts w:ascii="Arial" w:hAnsi="Arial" w:cs="Arial"/>
                          </w:rPr>
                        </w:pPr>
                        <w:r>
                          <w:rPr>
                            <w:rFonts w:ascii="Arial" w:hAnsi="Arial" w:cs="Arial"/>
                          </w:rPr>
                          <w:t>0.235</w:t>
                        </w:r>
                      </w:p>
                    </w:tc>
                    <w:tc>
                      <w:tcPr>
                        <w:tcW w:w="960" w:type="dxa"/>
                      </w:tcPr>
                      <w:p w:rsidR="00000000" w:rsidRDefault="000E1CA1">
                        <w:pPr>
                          <w:jc w:val="right"/>
                          <w:rPr>
                            <w:rFonts w:ascii="Arial" w:hAnsi="Arial" w:cs="Arial"/>
                          </w:rPr>
                        </w:pPr>
                        <w:r>
                          <w:rPr>
                            <w:rFonts w:ascii="Arial" w:hAnsi="Arial" w:cs="Arial"/>
                          </w:rPr>
                          <w:t>-0.034</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ENDEUDAMIENTO</w:t>
                        </w:r>
                      </w:p>
                    </w:tc>
                    <w:tc>
                      <w:tcPr>
                        <w:tcW w:w="892" w:type="dxa"/>
                      </w:tcPr>
                      <w:p w:rsidR="00000000" w:rsidRDefault="000E1CA1">
                        <w:pPr>
                          <w:jc w:val="right"/>
                          <w:rPr>
                            <w:rFonts w:ascii="Arial" w:hAnsi="Arial" w:cs="Arial"/>
                          </w:rPr>
                        </w:pPr>
                        <w:r>
                          <w:rPr>
                            <w:rFonts w:ascii="Arial" w:hAnsi="Arial" w:cs="Arial"/>
                          </w:rPr>
                          <w:t>-0.115</w:t>
                        </w:r>
                      </w:p>
                    </w:tc>
                    <w:tc>
                      <w:tcPr>
                        <w:tcW w:w="994" w:type="dxa"/>
                      </w:tcPr>
                      <w:p w:rsidR="00000000" w:rsidRDefault="000E1CA1">
                        <w:pPr>
                          <w:jc w:val="right"/>
                          <w:rPr>
                            <w:rFonts w:ascii="Arial" w:hAnsi="Arial" w:cs="Arial"/>
                            <w:b/>
                            <w:bCs/>
                          </w:rPr>
                        </w:pPr>
                        <w:r>
                          <w:rPr>
                            <w:rFonts w:ascii="Arial" w:hAnsi="Arial" w:cs="Arial"/>
                            <w:b/>
                            <w:bCs/>
                          </w:rPr>
                          <w:t>-0.966</w:t>
                        </w:r>
                      </w:p>
                    </w:tc>
                    <w:tc>
                      <w:tcPr>
                        <w:tcW w:w="960" w:type="dxa"/>
                      </w:tcPr>
                      <w:p w:rsidR="00000000" w:rsidRDefault="000E1CA1">
                        <w:pPr>
                          <w:jc w:val="right"/>
                          <w:rPr>
                            <w:rFonts w:ascii="Arial" w:hAnsi="Arial" w:cs="Arial"/>
                          </w:rPr>
                        </w:pPr>
                        <w:r>
                          <w:rPr>
                            <w:rFonts w:ascii="Arial" w:hAnsi="Arial" w:cs="Arial"/>
                          </w:rPr>
                          <w:t>-0.130</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PART_DEUDAS</w:t>
                        </w:r>
                      </w:p>
                    </w:tc>
                    <w:tc>
                      <w:tcPr>
                        <w:tcW w:w="892" w:type="dxa"/>
                      </w:tcPr>
                      <w:p w:rsidR="00000000" w:rsidRDefault="000E1CA1">
                        <w:pPr>
                          <w:jc w:val="right"/>
                          <w:rPr>
                            <w:rFonts w:ascii="Arial" w:hAnsi="Arial" w:cs="Arial"/>
                          </w:rPr>
                        </w:pPr>
                        <w:r>
                          <w:rPr>
                            <w:rFonts w:ascii="Arial" w:hAnsi="Arial" w:cs="Arial"/>
                          </w:rPr>
                          <w:t>0.130</w:t>
                        </w:r>
                      </w:p>
                    </w:tc>
                    <w:tc>
                      <w:tcPr>
                        <w:tcW w:w="994" w:type="dxa"/>
                      </w:tcPr>
                      <w:p w:rsidR="00000000" w:rsidRDefault="000E1CA1">
                        <w:pPr>
                          <w:jc w:val="right"/>
                          <w:rPr>
                            <w:rFonts w:ascii="Arial" w:hAnsi="Arial" w:cs="Arial"/>
                            <w:b/>
                            <w:bCs/>
                          </w:rPr>
                        </w:pPr>
                        <w:r>
                          <w:rPr>
                            <w:rFonts w:ascii="Arial" w:hAnsi="Arial" w:cs="Arial"/>
                            <w:b/>
                            <w:bCs/>
                          </w:rPr>
                          <w:t>0.971</w:t>
                        </w:r>
                      </w:p>
                    </w:tc>
                    <w:tc>
                      <w:tcPr>
                        <w:tcW w:w="960" w:type="dxa"/>
                      </w:tcPr>
                      <w:p w:rsidR="00000000" w:rsidRDefault="000E1CA1">
                        <w:pPr>
                          <w:jc w:val="right"/>
                          <w:rPr>
                            <w:rFonts w:ascii="Arial" w:hAnsi="Arial" w:cs="Arial"/>
                          </w:rPr>
                        </w:pPr>
                        <w:r>
                          <w:rPr>
                            <w:rFonts w:ascii="Arial" w:hAnsi="Arial" w:cs="Arial"/>
                          </w:rPr>
                          <w:t>0.149</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PART_ACCIONARIA</w:t>
                        </w:r>
                      </w:p>
                    </w:tc>
                    <w:tc>
                      <w:tcPr>
                        <w:tcW w:w="892" w:type="dxa"/>
                      </w:tcPr>
                      <w:p w:rsidR="00000000" w:rsidRDefault="000E1CA1">
                        <w:pPr>
                          <w:jc w:val="right"/>
                          <w:rPr>
                            <w:rFonts w:ascii="Arial" w:hAnsi="Arial" w:cs="Arial"/>
                          </w:rPr>
                        </w:pPr>
                        <w:r>
                          <w:rPr>
                            <w:rFonts w:ascii="Arial" w:hAnsi="Arial" w:cs="Arial"/>
                          </w:rPr>
                          <w:t>0</w:t>
                        </w:r>
                        <w:r>
                          <w:rPr>
                            <w:rFonts w:ascii="Arial" w:hAnsi="Arial" w:cs="Arial"/>
                          </w:rPr>
                          <w:t>.111</w:t>
                        </w:r>
                      </w:p>
                    </w:tc>
                    <w:tc>
                      <w:tcPr>
                        <w:tcW w:w="994" w:type="dxa"/>
                      </w:tcPr>
                      <w:p w:rsidR="00000000" w:rsidRDefault="000E1CA1">
                        <w:pPr>
                          <w:jc w:val="right"/>
                          <w:rPr>
                            <w:rFonts w:ascii="Arial" w:hAnsi="Arial" w:cs="Arial"/>
                            <w:b/>
                            <w:bCs/>
                          </w:rPr>
                        </w:pPr>
                        <w:r>
                          <w:rPr>
                            <w:rFonts w:ascii="Arial" w:hAnsi="Arial" w:cs="Arial"/>
                            <w:b/>
                            <w:bCs/>
                          </w:rPr>
                          <w:t>0.983</w:t>
                        </w:r>
                      </w:p>
                    </w:tc>
                    <w:tc>
                      <w:tcPr>
                        <w:tcW w:w="960" w:type="dxa"/>
                      </w:tcPr>
                      <w:p w:rsidR="00000000" w:rsidRDefault="000E1CA1">
                        <w:pPr>
                          <w:jc w:val="right"/>
                          <w:rPr>
                            <w:rFonts w:ascii="Arial" w:hAnsi="Arial" w:cs="Arial"/>
                          </w:rPr>
                        </w:pPr>
                        <w:r>
                          <w:rPr>
                            <w:rFonts w:ascii="Arial" w:hAnsi="Arial" w:cs="Arial"/>
                          </w:rPr>
                          <w:t>0.107</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REN_ACTIVO</w:t>
                        </w:r>
                      </w:p>
                    </w:tc>
                    <w:tc>
                      <w:tcPr>
                        <w:tcW w:w="892" w:type="dxa"/>
                      </w:tcPr>
                      <w:p w:rsidR="00000000" w:rsidRDefault="000E1CA1">
                        <w:pPr>
                          <w:jc w:val="right"/>
                          <w:rPr>
                            <w:rFonts w:ascii="Arial" w:hAnsi="Arial" w:cs="Arial"/>
                          </w:rPr>
                        </w:pPr>
                        <w:r>
                          <w:rPr>
                            <w:rFonts w:ascii="Arial" w:hAnsi="Arial" w:cs="Arial"/>
                          </w:rPr>
                          <w:t>-0.385</w:t>
                        </w:r>
                      </w:p>
                    </w:tc>
                    <w:tc>
                      <w:tcPr>
                        <w:tcW w:w="994" w:type="dxa"/>
                      </w:tcPr>
                      <w:p w:rsidR="00000000" w:rsidRDefault="000E1CA1">
                        <w:pPr>
                          <w:jc w:val="right"/>
                          <w:rPr>
                            <w:rFonts w:ascii="Arial" w:hAnsi="Arial" w:cs="Arial"/>
                          </w:rPr>
                        </w:pPr>
                        <w:r>
                          <w:rPr>
                            <w:rFonts w:ascii="Arial" w:hAnsi="Arial" w:cs="Arial"/>
                          </w:rPr>
                          <w:t>0.532</w:t>
                        </w:r>
                      </w:p>
                    </w:tc>
                    <w:tc>
                      <w:tcPr>
                        <w:tcW w:w="960" w:type="dxa"/>
                      </w:tcPr>
                      <w:p w:rsidR="00000000" w:rsidRDefault="000E1CA1">
                        <w:pPr>
                          <w:jc w:val="right"/>
                          <w:rPr>
                            <w:rFonts w:ascii="Arial" w:hAnsi="Arial" w:cs="Arial"/>
                            <w:b/>
                            <w:bCs/>
                          </w:rPr>
                        </w:pPr>
                        <w:r>
                          <w:rPr>
                            <w:rFonts w:ascii="Arial" w:hAnsi="Arial" w:cs="Arial"/>
                            <w:b/>
                            <w:bCs/>
                          </w:rPr>
                          <w:t>-0.662</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REN_PATRIMONIO</w:t>
                        </w:r>
                      </w:p>
                    </w:tc>
                    <w:tc>
                      <w:tcPr>
                        <w:tcW w:w="892" w:type="dxa"/>
                      </w:tcPr>
                      <w:p w:rsidR="00000000" w:rsidRDefault="000E1CA1">
                        <w:pPr>
                          <w:jc w:val="right"/>
                          <w:rPr>
                            <w:rFonts w:ascii="Arial" w:hAnsi="Arial" w:cs="Arial"/>
                          </w:rPr>
                        </w:pPr>
                        <w:r>
                          <w:rPr>
                            <w:rFonts w:ascii="Arial" w:hAnsi="Arial" w:cs="Arial"/>
                          </w:rPr>
                          <w:t>-0.455</w:t>
                        </w:r>
                      </w:p>
                    </w:tc>
                    <w:tc>
                      <w:tcPr>
                        <w:tcW w:w="994" w:type="dxa"/>
                      </w:tcPr>
                      <w:p w:rsidR="00000000" w:rsidRDefault="000E1CA1">
                        <w:pPr>
                          <w:jc w:val="right"/>
                          <w:rPr>
                            <w:rFonts w:ascii="Arial" w:hAnsi="Arial" w:cs="Arial"/>
                          </w:rPr>
                        </w:pPr>
                        <w:r>
                          <w:rPr>
                            <w:rFonts w:ascii="Arial" w:hAnsi="Arial" w:cs="Arial"/>
                          </w:rPr>
                          <w:t>-0.364</w:t>
                        </w:r>
                      </w:p>
                    </w:tc>
                    <w:tc>
                      <w:tcPr>
                        <w:tcW w:w="960" w:type="dxa"/>
                      </w:tcPr>
                      <w:p w:rsidR="00000000" w:rsidRDefault="000E1CA1">
                        <w:pPr>
                          <w:jc w:val="right"/>
                          <w:rPr>
                            <w:rFonts w:ascii="Arial" w:hAnsi="Arial" w:cs="Arial"/>
                            <w:b/>
                            <w:bCs/>
                          </w:rPr>
                        </w:pPr>
                        <w:r>
                          <w:rPr>
                            <w:rFonts w:ascii="Arial" w:hAnsi="Arial" w:cs="Arial"/>
                            <w:b/>
                            <w:bCs/>
                          </w:rPr>
                          <w:t>-0.731</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PIB</w:t>
                        </w:r>
                      </w:p>
                    </w:tc>
                    <w:tc>
                      <w:tcPr>
                        <w:tcW w:w="892" w:type="dxa"/>
                      </w:tcPr>
                      <w:p w:rsidR="00000000" w:rsidRDefault="000E1CA1">
                        <w:pPr>
                          <w:jc w:val="right"/>
                          <w:rPr>
                            <w:rFonts w:ascii="Arial" w:hAnsi="Arial" w:cs="Arial"/>
                            <w:b/>
                            <w:bCs/>
                          </w:rPr>
                        </w:pPr>
                        <w:r>
                          <w:rPr>
                            <w:rFonts w:ascii="Arial" w:hAnsi="Arial" w:cs="Arial"/>
                            <w:b/>
                            <w:bCs/>
                          </w:rPr>
                          <w:t>0.911</w:t>
                        </w:r>
                      </w:p>
                    </w:tc>
                    <w:tc>
                      <w:tcPr>
                        <w:tcW w:w="994" w:type="dxa"/>
                      </w:tcPr>
                      <w:p w:rsidR="00000000" w:rsidRDefault="000E1CA1">
                        <w:pPr>
                          <w:jc w:val="right"/>
                          <w:rPr>
                            <w:rFonts w:ascii="Arial" w:hAnsi="Arial" w:cs="Arial"/>
                          </w:rPr>
                        </w:pPr>
                        <w:r>
                          <w:rPr>
                            <w:rFonts w:ascii="Arial" w:hAnsi="Arial" w:cs="Arial"/>
                          </w:rPr>
                          <w:t>0.269</w:t>
                        </w:r>
                      </w:p>
                    </w:tc>
                    <w:tc>
                      <w:tcPr>
                        <w:tcW w:w="960" w:type="dxa"/>
                      </w:tcPr>
                      <w:p w:rsidR="00000000" w:rsidRDefault="000E1CA1">
                        <w:pPr>
                          <w:jc w:val="right"/>
                          <w:rPr>
                            <w:rFonts w:ascii="Arial" w:hAnsi="Arial" w:cs="Arial"/>
                          </w:rPr>
                        </w:pPr>
                        <w:r>
                          <w:rPr>
                            <w:rFonts w:ascii="Arial" w:hAnsi="Arial" w:cs="Arial"/>
                          </w:rPr>
                          <w:t>-0.037</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BALANZA</w:t>
                        </w:r>
                      </w:p>
                    </w:tc>
                    <w:tc>
                      <w:tcPr>
                        <w:tcW w:w="892" w:type="dxa"/>
                      </w:tcPr>
                      <w:p w:rsidR="00000000" w:rsidRDefault="000E1CA1">
                        <w:pPr>
                          <w:jc w:val="right"/>
                          <w:rPr>
                            <w:rFonts w:ascii="Arial" w:hAnsi="Arial" w:cs="Arial"/>
                          </w:rPr>
                        </w:pPr>
                        <w:r>
                          <w:rPr>
                            <w:rFonts w:ascii="Arial" w:hAnsi="Arial" w:cs="Arial"/>
                          </w:rPr>
                          <w:t>-0.057</w:t>
                        </w:r>
                      </w:p>
                    </w:tc>
                    <w:tc>
                      <w:tcPr>
                        <w:tcW w:w="994" w:type="dxa"/>
                      </w:tcPr>
                      <w:p w:rsidR="00000000" w:rsidRDefault="000E1CA1">
                        <w:pPr>
                          <w:jc w:val="right"/>
                          <w:rPr>
                            <w:rFonts w:ascii="Arial" w:hAnsi="Arial" w:cs="Arial"/>
                          </w:rPr>
                        </w:pPr>
                        <w:r>
                          <w:rPr>
                            <w:rFonts w:ascii="Arial" w:hAnsi="Arial" w:cs="Arial"/>
                          </w:rPr>
                          <w:t>0.220</w:t>
                        </w:r>
                      </w:p>
                    </w:tc>
                    <w:tc>
                      <w:tcPr>
                        <w:tcW w:w="960" w:type="dxa"/>
                      </w:tcPr>
                      <w:p w:rsidR="00000000" w:rsidRDefault="000E1CA1">
                        <w:pPr>
                          <w:jc w:val="right"/>
                          <w:rPr>
                            <w:rFonts w:ascii="Arial" w:hAnsi="Arial" w:cs="Arial"/>
                            <w:b/>
                            <w:bCs/>
                          </w:rPr>
                        </w:pPr>
                        <w:r>
                          <w:rPr>
                            <w:rFonts w:ascii="Arial" w:hAnsi="Arial" w:cs="Arial"/>
                            <w:b/>
                            <w:bCs/>
                          </w:rPr>
                          <w:t>0.729</w:t>
                        </w:r>
                      </w:p>
                    </w:tc>
                  </w:tr>
                  <w:tr w:rsidR="00000000">
                    <w:tblPrEx>
                      <w:tblCellMar>
                        <w:top w:w="0" w:type="dxa"/>
                        <w:bottom w:w="0" w:type="dxa"/>
                      </w:tblCellMar>
                    </w:tblPrEx>
                    <w:trPr>
                      <w:jc w:val="center"/>
                    </w:trPr>
                    <w:tc>
                      <w:tcPr>
                        <w:tcW w:w="2267" w:type="dxa"/>
                      </w:tcPr>
                      <w:p w:rsidR="00000000" w:rsidRDefault="000E1CA1">
                        <w:pPr>
                          <w:rPr>
                            <w:rFonts w:ascii="Arial" w:hAnsi="Arial" w:cs="Arial"/>
                            <w:b/>
                            <w:bCs/>
                            <w:sz w:val="22"/>
                          </w:rPr>
                        </w:pPr>
                        <w:r>
                          <w:rPr>
                            <w:rFonts w:ascii="Arial" w:hAnsi="Arial" w:cs="Arial"/>
                            <w:b/>
                            <w:bCs/>
                            <w:sz w:val="22"/>
                          </w:rPr>
                          <w:t>DEUDA PRIVADA</w:t>
                        </w:r>
                      </w:p>
                    </w:tc>
                    <w:tc>
                      <w:tcPr>
                        <w:tcW w:w="892" w:type="dxa"/>
                      </w:tcPr>
                      <w:p w:rsidR="00000000" w:rsidRDefault="000E1CA1">
                        <w:pPr>
                          <w:jc w:val="right"/>
                          <w:rPr>
                            <w:rFonts w:ascii="Arial" w:hAnsi="Arial" w:cs="Arial"/>
                            <w:b/>
                            <w:bCs/>
                          </w:rPr>
                        </w:pPr>
                        <w:r>
                          <w:rPr>
                            <w:rFonts w:ascii="Arial" w:hAnsi="Arial" w:cs="Arial"/>
                            <w:b/>
                            <w:bCs/>
                          </w:rPr>
                          <w:t>0.912</w:t>
                        </w:r>
                      </w:p>
                    </w:tc>
                    <w:tc>
                      <w:tcPr>
                        <w:tcW w:w="994" w:type="dxa"/>
                      </w:tcPr>
                      <w:p w:rsidR="00000000" w:rsidRDefault="000E1CA1">
                        <w:pPr>
                          <w:jc w:val="right"/>
                          <w:rPr>
                            <w:rFonts w:ascii="Arial" w:hAnsi="Arial" w:cs="Arial"/>
                          </w:rPr>
                        </w:pPr>
                        <w:r>
                          <w:rPr>
                            <w:rFonts w:ascii="Arial" w:hAnsi="Arial" w:cs="Arial"/>
                          </w:rPr>
                          <w:t>-0.152</w:t>
                        </w:r>
                      </w:p>
                    </w:tc>
                    <w:tc>
                      <w:tcPr>
                        <w:tcW w:w="960" w:type="dxa"/>
                      </w:tcPr>
                      <w:p w:rsidR="00000000" w:rsidRDefault="000E1CA1">
                        <w:pPr>
                          <w:jc w:val="right"/>
                          <w:rPr>
                            <w:rFonts w:ascii="Arial" w:hAnsi="Arial" w:cs="Arial"/>
                          </w:rPr>
                        </w:pPr>
                        <w:r>
                          <w:rPr>
                            <w:rFonts w:ascii="Arial" w:hAnsi="Arial" w:cs="Arial"/>
                          </w:rPr>
                          <w:t>-0.017</w:t>
                        </w:r>
                      </w:p>
                    </w:tc>
                  </w:tr>
                </w:tbl>
                <w:p w:rsidR="00000000" w:rsidRDefault="000E1CA1">
                  <w:pPr>
                    <w:jc w:val="center"/>
                  </w:pPr>
                </w:p>
              </w:txbxContent>
            </v:textbox>
          </v:shape>
        </w:pict>
      </w: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Encabezado"/>
        <w:tabs>
          <w:tab w:val="clear" w:pos="4252"/>
          <w:tab w:val="clear" w:pos="8504"/>
        </w:tabs>
        <w:ind w:left="902"/>
        <w:jc w:val="both"/>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 xml:space="preserve"> A continuación se presentarán los vectores propios en la tabla XLV, con los cuales se forman </w:t>
      </w:r>
      <w:r>
        <w:rPr>
          <w:rFonts w:ascii="Arial" w:hAnsi="Arial" w:cs="Arial"/>
        </w:rPr>
        <w:t>las diferentes componentes principales, cuyos valores forman parte de los coeficientes de las combinaciones lineales de cada componente.</w:t>
      </w:r>
    </w:p>
    <w:p w:rsidR="00000000" w:rsidRDefault="000E1CA1">
      <w:pPr>
        <w:pStyle w:val="Textoindependiente"/>
        <w:spacing w:line="480" w:lineRule="auto"/>
        <w:ind w:left="902"/>
        <w:rPr>
          <w:rFonts w:ascii="Arial" w:hAnsi="Arial" w:cs="Arial"/>
        </w:rPr>
      </w:pPr>
    </w:p>
    <w:p w:rsidR="00000000" w:rsidRDefault="000E1CA1">
      <w:pPr>
        <w:pStyle w:val="Textoindependiente"/>
        <w:spacing w:line="480" w:lineRule="auto"/>
        <w:ind w:left="902"/>
        <w:rPr>
          <w:rFonts w:ascii="Arial" w:hAnsi="Arial" w:cs="Arial"/>
        </w:rPr>
      </w:pPr>
    </w:p>
    <w:p w:rsidR="00000000" w:rsidRDefault="000E1CA1">
      <w:pPr>
        <w:pStyle w:val="Textoindependiente"/>
        <w:spacing w:line="480" w:lineRule="auto"/>
        <w:ind w:left="3026" w:firstLine="514"/>
        <w:rPr>
          <w:rFonts w:ascii="Arial" w:hAnsi="Arial" w:cs="Arial"/>
          <w:b/>
          <w:bCs/>
        </w:rPr>
      </w:pPr>
      <w:r>
        <w:rPr>
          <w:rFonts w:ascii="Arial" w:hAnsi="Arial" w:cs="Arial"/>
          <w:b/>
          <w:bCs/>
        </w:rPr>
        <w:t>TABLA XLV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1"/>
        <w:gridCol w:w="821"/>
        <w:gridCol w:w="821"/>
      </w:tblGrid>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position w:val="-10"/>
              </w:rPr>
              <w:object w:dxaOrig="279" w:dyaOrig="340">
                <v:shape id="_x0000_i1124" type="#_x0000_t75" style="width:14pt;height:17pt" o:ole="">
                  <v:imagedata r:id="rId222" o:title=""/>
                </v:shape>
                <o:OLEObject Type="Embed" ProgID="Equation.3" ShapeID="_x0000_i1124" DrawAspect="Content" ObjectID="_1308037000" r:id="rId223"/>
              </w:object>
            </w:r>
          </w:p>
        </w:tc>
        <w:tc>
          <w:tcPr>
            <w:tcW w:w="0" w:type="auto"/>
          </w:tcPr>
          <w:p w:rsidR="00000000" w:rsidRDefault="000E1CA1">
            <w:pPr>
              <w:pStyle w:val="Textoindependiente"/>
              <w:spacing w:line="480" w:lineRule="auto"/>
              <w:jc w:val="center"/>
              <w:rPr>
                <w:rFonts w:ascii="Arial" w:hAnsi="Arial" w:cs="Arial"/>
              </w:rPr>
            </w:pPr>
            <w:r>
              <w:rPr>
                <w:rFonts w:ascii="Arial" w:hAnsi="Arial" w:cs="Arial"/>
                <w:position w:val="-10"/>
              </w:rPr>
              <w:object w:dxaOrig="300" w:dyaOrig="340">
                <v:shape id="_x0000_i1125" type="#_x0000_t75" style="width:15pt;height:17pt" o:ole="">
                  <v:imagedata r:id="rId224" o:title=""/>
                </v:shape>
                <o:OLEObject Type="Embed" ProgID="Equation.3" ShapeID="_x0000_i1125" DrawAspect="Content" ObjectID="_1308037001" r:id="rId225"/>
              </w:object>
            </w:r>
          </w:p>
        </w:tc>
        <w:tc>
          <w:tcPr>
            <w:tcW w:w="0" w:type="auto"/>
          </w:tcPr>
          <w:p w:rsidR="00000000" w:rsidRDefault="000E1CA1">
            <w:pPr>
              <w:pStyle w:val="Textoindependiente"/>
              <w:spacing w:line="480" w:lineRule="auto"/>
              <w:jc w:val="center"/>
              <w:rPr>
                <w:rFonts w:ascii="Arial" w:hAnsi="Arial" w:cs="Arial"/>
              </w:rPr>
            </w:pPr>
            <w:r>
              <w:rPr>
                <w:rFonts w:ascii="Arial" w:hAnsi="Arial" w:cs="Arial"/>
                <w:position w:val="-12"/>
              </w:rPr>
              <w:object w:dxaOrig="300" w:dyaOrig="360">
                <v:shape id="_x0000_i1126" type="#_x0000_t75" style="width:15pt;height:18pt" o:ole="">
                  <v:imagedata r:id="rId226" o:title=""/>
                </v:shape>
                <o:OLEObject Type="Embed" ProgID="Equation.3" ShapeID="_x0000_i1126" DrawAspect="Content" ObjectID="_1308037002" r:id="rId227"/>
              </w:objec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0.339</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-0.075</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-0.073</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0.354</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0.176</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w:t>
            </w:r>
            <w:r>
              <w:rPr>
                <w:rFonts w:ascii="Arial" w:hAnsi="Arial" w:cs="Arial"/>
              </w:rPr>
              <w:t>0.004</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0.339</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0.225</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-0.045</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0.368</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0.072</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0.077</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0.350</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0.057</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0.276</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-0.167</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0.479</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-0.022</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0.175</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-0.479</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0.010</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0.165</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-0.488</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0.041</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-0.142</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-0.337</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0.502</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-0.279</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0.114</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0.449</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0.336</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0.030</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0.270</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0.088</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-0.134</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-0.581</w:t>
            </w:r>
          </w:p>
        </w:tc>
      </w:tr>
      <w:tr w:rsidR="00000000">
        <w:tblPrEx>
          <w:tblCellMar>
            <w:top w:w="0" w:type="dxa"/>
            <w:bottom w:w="0" w:type="dxa"/>
          </w:tblCellMar>
        </w:tblPrEx>
        <w:trPr>
          <w:jc w:val="center"/>
        </w:trPr>
        <w:tc>
          <w:tcPr>
            <w:tcW w:w="0" w:type="auto"/>
          </w:tcPr>
          <w:p w:rsidR="00000000" w:rsidRDefault="000E1CA1">
            <w:pPr>
              <w:pStyle w:val="Textoindependiente"/>
              <w:spacing w:line="480" w:lineRule="auto"/>
              <w:jc w:val="center"/>
              <w:rPr>
                <w:rFonts w:ascii="Arial" w:hAnsi="Arial" w:cs="Arial"/>
              </w:rPr>
            </w:pPr>
            <w:r>
              <w:rPr>
                <w:rFonts w:ascii="Arial" w:hAnsi="Arial" w:cs="Arial"/>
              </w:rPr>
              <w:t>0.289</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0.247</w:t>
            </w:r>
          </w:p>
        </w:tc>
        <w:tc>
          <w:tcPr>
            <w:tcW w:w="0" w:type="auto"/>
          </w:tcPr>
          <w:p w:rsidR="00000000" w:rsidRDefault="000E1CA1">
            <w:pPr>
              <w:pStyle w:val="Textoindependiente"/>
              <w:spacing w:line="480" w:lineRule="auto"/>
              <w:jc w:val="center"/>
              <w:rPr>
                <w:rFonts w:ascii="Arial" w:hAnsi="Arial" w:cs="Arial"/>
              </w:rPr>
            </w:pPr>
            <w:r>
              <w:rPr>
                <w:rFonts w:ascii="Arial" w:hAnsi="Arial" w:cs="Arial"/>
              </w:rPr>
              <w:t>0.210</w:t>
            </w:r>
          </w:p>
        </w:tc>
      </w:tr>
    </w:tbl>
    <w:p w:rsidR="00000000" w:rsidRDefault="000E1CA1">
      <w:pPr>
        <w:pStyle w:val="Textoindependiente"/>
        <w:spacing w:line="480" w:lineRule="auto"/>
        <w:ind w:left="902"/>
        <w:rPr>
          <w:rFonts w:ascii="Arial" w:hAnsi="Arial" w:cs="Arial"/>
        </w:rPr>
      </w:pPr>
    </w:p>
    <w:p w:rsidR="00000000" w:rsidRDefault="000E1CA1">
      <w:pPr>
        <w:pStyle w:val="Textoindependiente"/>
        <w:spacing w:line="480" w:lineRule="auto"/>
        <w:ind w:left="902"/>
        <w:rPr>
          <w:rFonts w:ascii="Arial" w:hAnsi="Arial" w:cs="Arial"/>
        </w:rPr>
      </w:pPr>
      <w:r>
        <w:rPr>
          <w:rFonts w:ascii="Arial" w:hAnsi="Arial" w:cs="Arial"/>
        </w:rPr>
        <w:t>Con estos datos presentados s</w:t>
      </w:r>
      <w:r>
        <w:rPr>
          <w:rFonts w:ascii="Arial" w:hAnsi="Arial" w:cs="Arial"/>
        </w:rPr>
        <w:t xml:space="preserve">e forman las 3 diferentes componentes principales las cuales son:  </w:t>
      </w:r>
      <w:r>
        <w:rPr>
          <w:rFonts w:ascii="Arial" w:hAnsi="Arial" w:cs="Arial"/>
          <w:position w:val="-12"/>
        </w:rPr>
        <w:object w:dxaOrig="940" w:dyaOrig="360">
          <v:shape id="_x0000_i1127" type="#_x0000_t75" style="width:47pt;height:18pt" o:ole="">
            <v:imagedata r:id="rId228" o:title=""/>
          </v:shape>
          <o:OLEObject Type="Embed" ProgID="Equation.3" ShapeID="_x0000_i1127" DrawAspect="Content" ObjectID="_1308037003" r:id="rId229"/>
        </w:object>
      </w:r>
      <w:r>
        <w:rPr>
          <w:rFonts w:ascii="Arial" w:hAnsi="Arial" w:cs="Arial"/>
        </w:rPr>
        <w:t>.</w:t>
      </w: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extoindependiente"/>
        <w:ind w:left="902"/>
        <w:rPr>
          <w:rFonts w:ascii="Arial" w:hAnsi="Arial" w:cs="Arial"/>
        </w:rPr>
      </w:pPr>
    </w:p>
    <w:p w:rsidR="00000000" w:rsidRDefault="000E1CA1">
      <w:pPr>
        <w:pStyle w:val="Ttulo1"/>
        <w:spacing w:line="480" w:lineRule="auto"/>
        <w:ind w:left="902"/>
        <w:rPr>
          <w:rFonts w:ascii="Arial" w:hAnsi="Arial" w:cs="Arial"/>
          <w:bCs/>
          <w:i w:val="0"/>
          <w:iCs w:val="0"/>
          <w:lang w:val="es-ES_tradnl"/>
        </w:rPr>
      </w:pPr>
      <w:r>
        <w:rPr>
          <w:rFonts w:ascii="Arial" w:hAnsi="Arial" w:cs="Arial"/>
          <w:bCs/>
          <w:i w:val="0"/>
          <w:iCs w:val="0"/>
          <w:lang w:val="es-ES_tradnl"/>
        </w:rPr>
        <w:t xml:space="preserve">En la primera componente denominada </w:t>
      </w:r>
      <w:r>
        <w:rPr>
          <w:rFonts w:ascii="Arial" w:hAnsi="Arial" w:cs="Arial"/>
          <w:position w:val="-10"/>
        </w:rPr>
        <w:object w:dxaOrig="279" w:dyaOrig="340">
          <v:shape id="_x0000_i1128" type="#_x0000_t75" style="width:14pt;height:17pt" o:ole="">
            <v:imagedata r:id="rId222" o:title=""/>
          </v:shape>
          <o:OLEObject Type="Embed" ProgID="Equation.3" ShapeID="_x0000_i1128" DrawAspect="Content" ObjectID="_1308037004" r:id="rId230"/>
        </w:object>
      </w:r>
      <w:r>
        <w:rPr>
          <w:rFonts w:ascii="Arial" w:hAnsi="Arial" w:cs="Arial"/>
          <w:bCs/>
          <w:i w:val="0"/>
          <w:iCs w:val="0"/>
          <w:lang w:val="es-ES_tradnl"/>
        </w:rPr>
        <w:t>, obtenemos las siguientes variables más representativas:</w:t>
      </w:r>
    </w:p>
    <w:p w:rsidR="00000000" w:rsidRDefault="000E1CA1">
      <w:pPr>
        <w:rPr>
          <w:lang w:val="es-ES_tradnl"/>
        </w:rPr>
      </w:pPr>
    </w:p>
    <w:p w:rsidR="00000000" w:rsidRDefault="000E1CA1" w:rsidP="000E1CA1">
      <w:pPr>
        <w:pStyle w:val="Ttulo1"/>
        <w:numPr>
          <w:ilvl w:val="0"/>
          <w:numId w:val="35"/>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w:t>
      </w:r>
      <w:r>
        <w:rPr>
          <w:rFonts w:ascii="Arial" w:hAnsi="Arial" w:cs="Arial"/>
          <w:b/>
          <w:bCs/>
          <w:i w:val="0"/>
          <w:iCs w:val="0"/>
          <w:lang w:val="es-ES_tradnl"/>
        </w:rPr>
        <w:t xml:space="preserve">:  </w:t>
      </w:r>
      <w:r>
        <w:rPr>
          <w:rFonts w:ascii="Arial" w:hAnsi="Arial" w:cs="Arial"/>
          <w:i w:val="0"/>
          <w:iCs w:val="0"/>
        </w:rPr>
        <w:t>Número de las compañías de la Región S</w:t>
      </w:r>
      <w:r>
        <w:rPr>
          <w:rFonts w:ascii="Arial" w:hAnsi="Arial" w:cs="Arial"/>
          <w:i w:val="0"/>
          <w:iCs w:val="0"/>
        </w:rPr>
        <w:t>ierra</w:t>
      </w:r>
    </w:p>
    <w:p w:rsidR="00000000" w:rsidRDefault="000E1CA1" w:rsidP="000E1CA1">
      <w:pPr>
        <w:pStyle w:val="Ttulo1"/>
        <w:numPr>
          <w:ilvl w:val="0"/>
          <w:numId w:val="35"/>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2</w:t>
      </w:r>
      <w:r>
        <w:rPr>
          <w:rFonts w:ascii="Arial" w:hAnsi="Arial" w:cs="Arial"/>
          <w:b/>
          <w:bCs/>
          <w:i w:val="0"/>
          <w:iCs w:val="0"/>
          <w:lang w:val="es-ES_tradnl"/>
        </w:rPr>
        <w:t xml:space="preserve">:  </w:t>
      </w:r>
      <w:r>
        <w:rPr>
          <w:rFonts w:ascii="Arial" w:hAnsi="Arial" w:cs="Arial"/>
          <w:i w:val="0"/>
          <w:iCs w:val="0"/>
        </w:rPr>
        <w:t>Activos de las compañías de la Región Sierra</w:t>
      </w:r>
    </w:p>
    <w:p w:rsidR="00000000" w:rsidRDefault="000E1CA1" w:rsidP="000E1CA1">
      <w:pPr>
        <w:pStyle w:val="Ttulo1"/>
        <w:numPr>
          <w:ilvl w:val="0"/>
          <w:numId w:val="35"/>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3</w:t>
      </w:r>
      <w:r>
        <w:rPr>
          <w:rFonts w:ascii="Arial" w:hAnsi="Arial" w:cs="Arial"/>
          <w:i w:val="0"/>
          <w:iCs w:val="0"/>
          <w:lang w:val="es-ES_tradnl"/>
        </w:rPr>
        <w:t xml:space="preserve">:  </w:t>
      </w:r>
      <w:r>
        <w:rPr>
          <w:rFonts w:ascii="Arial" w:hAnsi="Arial" w:cs="Arial"/>
          <w:i w:val="0"/>
          <w:iCs w:val="0"/>
        </w:rPr>
        <w:t>Pasivos de las compañías de la Región Sierra</w:t>
      </w:r>
    </w:p>
    <w:p w:rsidR="00000000" w:rsidRDefault="000E1CA1" w:rsidP="000E1CA1">
      <w:pPr>
        <w:pStyle w:val="Ttulo1"/>
        <w:numPr>
          <w:ilvl w:val="0"/>
          <w:numId w:val="35"/>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4</w:t>
      </w:r>
      <w:r>
        <w:rPr>
          <w:rFonts w:ascii="Arial" w:hAnsi="Arial" w:cs="Arial"/>
          <w:i w:val="0"/>
          <w:iCs w:val="0"/>
          <w:lang w:val="es-ES_tradnl"/>
        </w:rPr>
        <w:t xml:space="preserve">:  </w:t>
      </w:r>
      <w:r>
        <w:rPr>
          <w:rFonts w:ascii="Arial" w:hAnsi="Arial" w:cs="Arial"/>
          <w:i w:val="0"/>
          <w:iCs w:val="0"/>
        </w:rPr>
        <w:t>Patrimonios de las compañías de la Región Sierra</w:t>
      </w:r>
    </w:p>
    <w:p w:rsidR="00000000" w:rsidRDefault="000E1CA1" w:rsidP="000E1CA1">
      <w:pPr>
        <w:pStyle w:val="Ttulo1"/>
        <w:numPr>
          <w:ilvl w:val="0"/>
          <w:numId w:val="35"/>
        </w:numPr>
        <w:spacing w:line="480" w:lineRule="auto"/>
        <w:rPr>
          <w:rFonts w:ascii="Arial" w:hAnsi="Arial" w:cs="Arial"/>
          <w:b/>
          <w:i w:val="0"/>
          <w:iCs w:val="0"/>
          <w:lang w:val="es-ES_tradnl"/>
        </w:rPr>
      </w:pPr>
      <w:r>
        <w:rPr>
          <w:rFonts w:ascii="Arial" w:hAnsi="Arial" w:cs="Arial"/>
          <w:b/>
          <w:i w:val="0"/>
          <w:iCs w:val="0"/>
          <w:snapToGrid w:val="0"/>
        </w:rPr>
        <w:t>X</w:t>
      </w:r>
      <w:r>
        <w:rPr>
          <w:rFonts w:ascii="Arial" w:hAnsi="Arial" w:cs="Arial"/>
          <w:b/>
          <w:i w:val="0"/>
          <w:iCs w:val="0"/>
          <w:snapToGrid w:val="0"/>
          <w:vertAlign w:val="subscript"/>
        </w:rPr>
        <w:t>5</w:t>
      </w:r>
      <w:r>
        <w:rPr>
          <w:rFonts w:ascii="Arial" w:hAnsi="Arial" w:cs="Arial"/>
          <w:b/>
          <w:i w:val="0"/>
          <w:iCs w:val="0"/>
          <w:snapToGrid w:val="0"/>
        </w:rPr>
        <w:t xml:space="preserve">:  </w:t>
      </w:r>
      <w:r>
        <w:rPr>
          <w:rFonts w:ascii="Arial" w:hAnsi="Arial" w:cs="Arial"/>
          <w:i w:val="0"/>
          <w:iCs w:val="0"/>
        </w:rPr>
        <w:t>Ventas de las compañías de la Región Sierra</w:t>
      </w:r>
    </w:p>
    <w:p w:rsidR="00000000" w:rsidRDefault="000E1CA1" w:rsidP="000E1CA1">
      <w:pPr>
        <w:pStyle w:val="Ttulo1"/>
        <w:numPr>
          <w:ilvl w:val="0"/>
          <w:numId w:val="35"/>
        </w:numPr>
        <w:spacing w:line="480" w:lineRule="auto"/>
        <w:rPr>
          <w:rFonts w:ascii="Arial" w:hAnsi="Arial" w:cs="Arial"/>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11</w:t>
      </w:r>
      <w:r>
        <w:rPr>
          <w:rFonts w:ascii="Arial" w:hAnsi="Arial" w:cs="Arial"/>
          <w:b/>
          <w:bCs/>
          <w:i w:val="0"/>
          <w:iCs w:val="0"/>
          <w:lang w:val="es-ES_tradnl"/>
        </w:rPr>
        <w:t xml:space="preserve">: </w:t>
      </w:r>
      <w:r>
        <w:rPr>
          <w:rFonts w:ascii="Arial" w:hAnsi="Arial" w:cs="Arial"/>
          <w:i w:val="0"/>
          <w:iCs w:val="0"/>
          <w:lang w:val="es-ES_tradnl"/>
        </w:rPr>
        <w:t>PIB</w:t>
      </w:r>
    </w:p>
    <w:p w:rsidR="00000000" w:rsidRDefault="000E1CA1" w:rsidP="000E1CA1">
      <w:pPr>
        <w:pStyle w:val="Ttulo1"/>
        <w:numPr>
          <w:ilvl w:val="0"/>
          <w:numId w:val="36"/>
        </w:numPr>
        <w:spacing w:line="480" w:lineRule="auto"/>
        <w:rPr>
          <w:rFonts w:ascii="Arial" w:hAnsi="Arial" w:cs="Arial"/>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13</w:t>
      </w:r>
      <w:r>
        <w:rPr>
          <w:rFonts w:ascii="Arial" w:hAnsi="Arial" w:cs="Arial"/>
          <w:i w:val="0"/>
          <w:iCs w:val="0"/>
          <w:lang w:val="es-ES_tradnl"/>
        </w:rPr>
        <w:t>: Deuda externa privada</w:t>
      </w:r>
    </w:p>
    <w:p w:rsidR="00000000" w:rsidRDefault="000E1CA1">
      <w:pPr>
        <w:ind w:left="902"/>
        <w:rPr>
          <w:lang w:val="es-ES_tradnl"/>
        </w:rPr>
      </w:pP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p>
    <w:p w:rsidR="00000000" w:rsidRDefault="000E1CA1">
      <w:pPr>
        <w:pStyle w:val="Sangradetextonormal"/>
        <w:spacing w:line="480" w:lineRule="auto"/>
        <w:ind w:left="902"/>
      </w:pPr>
      <w:r>
        <w:t>Esta pri</w:t>
      </w:r>
      <w:r>
        <w:t>mera componente agrupa 7 variables representativas y explica el 48.021% del total de la variación de la población, y se la podría nombrar: “Situación de la empresa en la economía del país”</w:t>
      </w:r>
    </w:p>
    <w:p w:rsidR="00000000" w:rsidRDefault="000E1CA1">
      <w:pPr>
        <w:ind w:left="902"/>
        <w:jc w:val="both"/>
        <w:rPr>
          <w:rFonts w:ascii="Arial" w:hAnsi="Arial" w:cs="Arial"/>
          <w:lang w:val="es-ES_tradnl"/>
        </w:rPr>
      </w:pPr>
    </w:p>
    <w:p w:rsidR="00000000" w:rsidRDefault="000E1CA1">
      <w:pPr>
        <w:ind w:left="902"/>
        <w:jc w:val="both"/>
        <w:rPr>
          <w:rFonts w:ascii="Arial" w:hAnsi="Arial" w:cs="Arial"/>
          <w:lang w:val="es-ES_tradnl"/>
        </w:rPr>
      </w:pPr>
      <w:r>
        <w:rPr>
          <w:rFonts w:ascii="Arial" w:hAnsi="Arial" w:cs="Arial"/>
          <w:position w:val="-12"/>
          <w:lang w:val="es-ES_tradnl"/>
        </w:rPr>
        <w:object w:dxaOrig="7060" w:dyaOrig="360">
          <v:shape id="_x0000_i1129" type="#_x0000_t75" style="width:353pt;height:18pt" o:ole="">
            <v:imagedata r:id="rId231" o:title=""/>
          </v:shape>
          <o:OLEObject Type="Embed" ProgID="Equation.3" ShapeID="_x0000_i1129" DrawAspect="Content" ObjectID="_1308037005" r:id="rId232"/>
        </w:object>
      </w:r>
      <w:r>
        <w:rPr>
          <w:rFonts w:ascii="Arial" w:hAnsi="Arial" w:cs="Arial"/>
          <w:position w:val="-10"/>
          <w:lang w:val="es-ES_tradnl"/>
        </w:rPr>
        <w:object w:dxaOrig="180" w:dyaOrig="340">
          <v:shape id="_x0000_i1130" type="#_x0000_t75" style="width:9pt;height:17pt" o:ole="">
            <v:imagedata r:id="rId233" o:title=""/>
          </v:shape>
          <o:OLEObject Type="Embed" ProgID="Equation.3" ShapeID="_x0000_i1130" DrawAspect="Content" ObjectID="_1308037006" r:id="rId234"/>
        </w:object>
      </w:r>
    </w:p>
    <w:p w:rsidR="00000000" w:rsidRDefault="000E1CA1">
      <w:pPr>
        <w:jc w:val="both"/>
        <w:rPr>
          <w:rFonts w:ascii="Arial" w:hAnsi="Arial" w:cs="Arial"/>
          <w:lang w:val="es-ES_tradnl"/>
        </w:rPr>
      </w:pPr>
    </w:p>
    <w:p w:rsidR="00000000" w:rsidRDefault="000E1CA1">
      <w:pPr>
        <w:jc w:val="both"/>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position w:val="-12"/>
          <w:lang w:val="es-ES_tradnl"/>
        </w:rPr>
        <w:object w:dxaOrig="2060" w:dyaOrig="360">
          <v:shape id="_x0000_i1131" type="#_x0000_t75" style="width:103pt;height:18pt" o:ole="">
            <v:imagedata r:id="rId235" o:title=""/>
          </v:shape>
          <o:OLEObject Type="Embed" ProgID="Equation.3" ShapeID="_x0000_i1131" DrawAspect="Content" ObjectID="_1308037007" r:id="rId236"/>
        </w:object>
      </w:r>
    </w:p>
    <w:p w:rsidR="00000000" w:rsidRDefault="000E1CA1">
      <w:pPr>
        <w:spacing w:line="480" w:lineRule="auto"/>
        <w:ind w:left="902" w:firstLine="514"/>
        <w:jc w:val="both"/>
        <w:rPr>
          <w:rFonts w:ascii="Arial" w:hAnsi="Arial" w:cs="Arial"/>
          <w:lang w:val="es-ES_tradnl"/>
        </w:rPr>
      </w:pPr>
      <w:r>
        <w:rPr>
          <w:rFonts w:ascii="Arial" w:hAnsi="Arial" w:cs="Arial"/>
          <w:position w:val="-10"/>
          <w:lang w:val="es-ES_tradnl"/>
        </w:rPr>
        <w:object w:dxaOrig="180" w:dyaOrig="340">
          <v:shape id="_x0000_i1132" type="#_x0000_t75" style="width:9pt;height:17pt" o:ole="">
            <v:imagedata r:id="rId233" o:title=""/>
          </v:shape>
          <o:OLEObject Type="Embed" ProgID="Equation.3" ShapeID="_x0000_i1132" DrawAspect="Content" ObjectID="_1308037008" r:id="rId237"/>
        </w:object>
      </w:r>
    </w:p>
    <w:p w:rsidR="00000000" w:rsidRDefault="000E1CA1">
      <w:pPr>
        <w:pStyle w:val="Ttulo1"/>
        <w:spacing w:line="480" w:lineRule="auto"/>
        <w:ind w:left="902"/>
        <w:rPr>
          <w:rFonts w:ascii="Arial" w:hAnsi="Arial" w:cs="Arial"/>
          <w:bCs/>
          <w:i w:val="0"/>
          <w:iCs w:val="0"/>
          <w:lang w:val="es-ES_tradnl"/>
        </w:rPr>
      </w:pPr>
      <w:r>
        <w:rPr>
          <w:rFonts w:ascii="Arial" w:hAnsi="Arial" w:cs="Arial"/>
          <w:bCs/>
          <w:i w:val="0"/>
          <w:iCs w:val="0"/>
          <w:lang w:val="es-ES_tradnl"/>
        </w:rPr>
        <w:t xml:space="preserve">En la segunda componente denominada </w:t>
      </w:r>
      <w:r>
        <w:rPr>
          <w:rFonts w:ascii="Arial" w:hAnsi="Arial" w:cs="Arial"/>
          <w:position w:val="-10"/>
        </w:rPr>
        <w:object w:dxaOrig="300" w:dyaOrig="340">
          <v:shape id="_x0000_i1133" type="#_x0000_t75" style="width:15pt;height:17pt" o:ole="">
            <v:imagedata r:id="rId224" o:title=""/>
          </v:shape>
          <o:OLEObject Type="Embed" ProgID="Equation.3" ShapeID="_x0000_i1133" DrawAspect="Content" ObjectID="_1308037009" r:id="rId238"/>
        </w:object>
      </w:r>
      <w:r>
        <w:rPr>
          <w:rFonts w:ascii="Arial" w:hAnsi="Arial" w:cs="Arial"/>
          <w:bCs/>
          <w:i w:val="0"/>
          <w:iCs w:val="0"/>
          <w:lang w:val="es-ES_tradnl"/>
        </w:rPr>
        <w:t>, obtenemos las siguientes variables más representativas:</w:t>
      </w:r>
    </w:p>
    <w:p w:rsidR="00000000" w:rsidRDefault="000E1CA1">
      <w:pPr>
        <w:ind w:left="902"/>
        <w:jc w:val="both"/>
        <w:rPr>
          <w:rFonts w:ascii="Arial" w:hAnsi="Arial" w:cs="Arial"/>
          <w:lang w:val="es-ES_tradnl"/>
        </w:rPr>
      </w:pPr>
    </w:p>
    <w:p w:rsidR="00000000" w:rsidRDefault="000E1CA1" w:rsidP="000E1CA1">
      <w:pPr>
        <w:pStyle w:val="Ttulo1"/>
        <w:numPr>
          <w:ilvl w:val="0"/>
          <w:numId w:val="36"/>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6</w:t>
      </w:r>
      <w:r>
        <w:rPr>
          <w:rFonts w:ascii="Arial" w:hAnsi="Arial" w:cs="Arial"/>
          <w:i w:val="0"/>
          <w:iCs w:val="0"/>
          <w:lang w:val="es-ES_tradnl"/>
        </w:rPr>
        <w:t>: Endeudamiento</w:t>
      </w:r>
    </w:p>
    <w:p w:rsidR="00000000" w:rsidRDefault="000E1CA1" w:rsidP="000E1CA1">
      <w:pPr>
        <w:numPr>
          <w:ilvl w:val="0"/>
          <w:numId w:val="36"/>
        </w:numPr>
        <w:jc w:val="both"/>
        <w:rPr>
          <w:rFonts w:ascii="Arial" w:hAnsi="Arial" w:cs="Arial"/>
          <w:bCs/>
          <w:snapToGrid w:val="0"/>
        </w:rPr>
      </w:pPr>
      <w:r>
        <w:rPr>
          <w:rFonts w:ascii="Arial" w:hAnsi="Arial" w:cs="Arial"/>
          <w:b/>
          <w:snapToGrid w:val="0"/>
        </w:rPr>
        <w:t>X</w:t>
      </w:r>
      <w:r>
        <w:rPr>
          <w:rFonts w:ascii="Arial" w:hAnsi="Arial" w:cs="Arial"/>
          <w:b/>
          <w:snapToGrid w:val="0"/>
          <w:vertAlign w:val="subscript"/>
        </w:rPr>
        <w:t>7</w:t>
      </w:r>
      <w:r>
        <w:rPr>
          <w:rFonts w:ascii="Arial" w:hAnsi="Arial" w:cs="Arial"/>
          <w:b/>
          <w:snapToGrid w:val="0"/>
        </w:rPr>
        <w:t xml:space="preserve">: </w:t>
      </w:r>
      <w:r>
        <w:rPr>
          <w:rFonts w:ascii="Arial" w:hAnsi="Arial" w:cs="Arial"/>
          <w:bCs/>
          <w:snapToGrid w:val="0"/>
        </w:rPr>
        <w:t>Participación en deudas</w:t>
      </w:r>
    </w:p>
    <w:p w:rsidR="00000000" w:rsidRDefault="000E1CA1">
      <w:pPr>
        <w:ind w:left="902"/>
        <w:jc w:val="both"/>
        <w:rPr>
          <w:rFonts w:ascii="Arial" w:hAnsi="Arial" w:cs="Arial"/>
          <w:bCs/>
          <w:snapToGrid w:val="0"/>
        </w:rPr>
      </w:pPr>
    </w:p>
    <w:p w:rsidR="00000000" w:rsidRDefault="000E1CA1" w:rsidP="000E1CA1">
      <w:pPr>
        <w:pStyle w:val="Ttulo1"/>
        <w:numPr>
          <w:ilvl w:val="0"/>
          <w:numId w:val="36"/>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8</w:t>
      </w:r>
      <w:r>
        <w:rPr>
          <w:rFonts w:ascii="Arial" w:hAnsi="Arial" w:cs="Arial"/>
          <w:i w:val="0"/>
          <w:iCs w:val="0"/>
          <w:lang w:val="es-ES_tradnl"/>
        </w:rPr>
        <w:t>: Participación accionaria</w:t>
      </w:r>
    </w:p>
    <w:p w:rsidR="00000000" w:rsidRDefault="000E1CA1">
      <w:pPr>
        <w:ind w:left="902"/>
        <w:jc w:val="both"/>
        <w:rPr>
          <w:rFonts w:ascii="Arial" w:hAnsi="Arial" w:cs="Arial"/>
          <w:bCs/>
          <w:snapToGrid w:val="0"/>
        </w:rPr>
      </w:pPr>
    </w:p>
    <w:p w:rsidR="00000000" w:rsidRDefault="000E1CA1">
      <w:pPr>
        <w:jc w:val="both"/>
        <w:rPr>
          <w:rFonts w:ascii="Arial" w:hAnsi="Arial" w:cs="Arial"/>
          <w:bCs/>
          <w:snapToGrid w:val="0"/>
        </w:rPr>
      </w:pPr>
    </w:p>
    <w:p w:rsidR="00000000" w:rsidRDefault="000E1CA1">
      <w:pPr>
        <w:pStyle w:val="Sangradetextonormal"/>
        <w:spacing w:line="480" w:lineRule="auto"/>
        <w:ind w:left="902"/>
      </w:pPr>
      <w:r>
        <w:t>Esta segunda componente agru</w:t>
      </w:r>
      <w:r>
        <w:t>pa 3 variables, se le otorga el nombre de  “Participación de la empresa en el mercado”  y explica el 28.234% del total de la variación.</w:t>
      </w:r>
    </w:p>
    <w:p w:rsidR="00000000" w:rsidRDefault="000E1CA1">
      <w:pPr>
        <w:pStyle w:val="Sangradetextonormal"/>
      </w:pPr>
    </w:p>
    <w:p w:rsidR="00000000" w:rsidRDefault="000E1CA1">
      <w:pPr>
        <w:pStyle w:val="Sangradetextonormal"/>
        <w:ind w:left="554" w:firstLine="348"/>
        <w:rPr>
          <w:bCs/>
          <w:snapToGrid w:val="0"/>
        </w:rPr>
      </w:pPr>
      <w:r>
        <w:rPr>
          <w:bCs/>
          <w:snapToGrid w:val="0"/>
          <w:position w:val="-12"/>
        </w:rPr>
        <w:object w:dxaOrig="5440" w:dyaOrig="360">
          <v:shape id="_x0000_i1134" type="#_x0000_t75" style="width:272pt;height:18pt" o:ole="">
            <v:imagedata r:id="rId239" o:title=""/>
          </v:shape>
          <o:OLEObject Type="Embed" ProgID="Equation.3" ShapeID="_x0000_i1134" DrawAspect="Content" ObjectID="_1308037010" r:id="rId240"/>
        </w:object>
      </w:r>
    </w:p>
    <w:p w:rsidR="00000000" w:rsidRDefault="000E1CA1">
      <w:pPr>
        <w:jc w:val="both"/>
        <w:rPr>
          <w:rFonts w:ascii="Arial" w:hAnsi="Arial" w:cs="Arial"/>
          <w:bCs/>
          <w:snapToGrid w:val="0"/>
        </w:rPr>
      </w:pPr>
    </w:p>
    <w:p w:rsidR="00000000" w:rsidRDefault="000E1CA1">
      <w:pPr>
        <w:jc w:val="both"/>
        <w:rPr>
          <w:rFonts w:ascii="Arial" w:hAnsi="Arial" w:cs="Arial"/>
          <w:bCs/>
          <w:snapToGrid w:val="0"/>
        </w:rPr>
      </w:pPr>
    </w:p>
    <w:p w:rsidR="00000000" w:rsidRDefault="000E1CA1">
      <w:pPr>
        <w:jc w:val="both"/>
        <w:rPr>
          <w:rFonts w:ascii="Arial" w:hAnsi="Arial" w:cs="Arial"/>
          <w:bCs/>
          <w:snapToGrid w:val="0"/>
        </w:rPr>
      </w:pPr>
    </w:p>
    <w:p w:rsidR="00000000" w:rsidRDefault="000E1CA1">
      <w:pPr>
        <w:spacing w:line="480" w:lineRule="auto"/>
        <w:ind w:left="902"/>
        <w:jc w:val="both"/>
        <w:rPr>
          <w:rFonts w:ascii="Arial" w:hAnsi="Arial" w:cs="Arial"/>
          <w:bCs/>
          <w:snapToGrid w:val="0"/>
        </w:rPr>
      </w:pPr>
      <w:r>
        <w:rPr>
          <w:rFonts w:ascii="Arial" w:hAnsi="Arial" w:cs="Arial"/>
          <w:bCs/>
          <w:lang w:val="es-ES_tradnl"/>
        </w:rPr>
        <w:t>En la tercera componente denominada</w:t>
      </w:r>
      <w:r>
        <w:rPr>
          <w:rFonts w:ascii="Arial" w:hAnsi="Arial" w:cs="Arial"/>
        </w:rPr>
        <w:t xml:space="preserve"> </w:t>
      </w:r>
      <w:r>
        <w:rPr>
          <w:rFonts w:ascii="Arial" w:hAnsi="Arial" w:cs="Arial"/>
          <w:position w:val="-12"/>
        </w:rPr>
        <w:object w:dxaOrig="300" w:dyaOrig="360">
          <v:shape id="_x0000_i1135" type="#_x0000_t75" style="width:15pt;height:18pt" o:ole="">
            <v:imagedata r:id="rId226" o:title=""/>
          </v:shape>
          <o:OLEObject Type="Embed" ProgID="Equation.3" ShapeID="_x0000_i1135" DrawAspect="Content" ObjectID="_1308037011" r:id="rId241"/>
        </w:object>
      </w:r>
      <w:r>
        <w:rPr>
          <w:rFonts w:ascii="Arial" w:hAnsi="Arial" w:cs="Arial"/>
          <w:bCs/>
          <w:lang w:val="es-ES_tradnl"/>
        </w:rPr>
        <w:t>, obtenemos las siguientes variab</w:t>
      </w:r>
      <w:r>
        <w:rPr>
          <w:rFonts w:ascii="Arial" w:hAnsi="Arial" w:cs="Arial"/>
          <w:bCs/>
          <w:lang w:val="es-ES_tradnl"/>
        </w:rPr>
        <w:t>les.</w:t>
      </w:r>
    </w:p>
    <w:p w:rsidR="00000000" w:rsidRDefault="000E1CA1">
      <w:pPr>
        <w:jc w:val="both"/>
        <w:rPr>
          <w:rFonts w:ascii="Arial" w:hAnsi="Arial" w:cs="Arial"/>
          <w:bCs/>
          <w:snapToGrid w:val="0"/>
        </w:rPr>
      </w:pPr>
    </w:p>
    <w:p w:rsidR="00000000" w:rsidRDefault="000E1CA1" w:rsidP="000E1CA1">
      <w:pPr>
        <w:pStyle w:val="Ttulo1"/>
        <w:numPr>
          <w:ilvl w:val="0"/>
          <w:numId w:val="36"/>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9</w:t>
      </w:r>
      <w:r>
        <w:rPr>
          <w:rFonts w:ascii="Arial" w:hAnsi="Arial" w:cs="Arial"/>
          <w:i w:val="0"/>
          <w:iCs w:val="0"/>
          <w:lang w:val="es-ES_tradnl"/>
        </w:rPr>
        <w:t>:  Rendimiento sobre activo</w:t>
      </w:r>
    </w:p>
    <w:p w:rsidR="00000000" w:rsidRDefault="000E1CA1" w:rsidP="000E1CA1">
      <w:pPr>
        <w:numPr>
          <w:ilvl w:val="0"/>
          <w:numId w:val="36"/>
        </w:numPr>
        <w:jc w:val="both"/>
        <w:rPr>
          <w:rFonts w:ascii="Arial" w:hAnsi="Arial" w:cs="Arial"/>
          <w:bCs/>
          <w:snapToGrid w:val="0"/>
        </w:rPr>
      </w:pPr>
      <w:r>
        <w:rPr>
          <w:rFonts w:ascii="Arial" w:hAnsi="Arial" w:cs="Arial"/>
          <w:b/>
          <w:snapToGrid w:val="0"/>
        </w:rPr>
        <w:t>X</w:t>
      </w:r>
      <w:r>
        <w:rPr>
          <w:rFonts w:ascii="Arial" w:hAnsi="Arial" w:cs="Arial"/>
          <w:b/>
          <w:snapToGrid w:val="0"/>
          <w:vertAlign w:val="subscript"/>
        </w:rPr>
        <w:t>10</w:t>
      </w:r>
      <w:r>
        <w:rPr>
          <w:rFonts w:ascii="Arial" w:hAnsi="Arial" w:cs="Arial"/>
          <w:b/>
          <w:snapToGrid w:val="0"/>
        </w:rPr>
        <w:t xml:space="preserve">: </w:t>
      </w:r>
      <w:r>
        <w:rPr>
          <w:rFonts w:ascii="Arial" w:hAnsi="Arial" w:cs="Arial"/>
          <w:bCs/>
          <w:snapToGrid w:val="0"/>
        </w:rPr>
        <w:t>Rendimiento sobre patrimonio</w:t>
      </w:r>
    </w:p>
    <w:p w:rsidR="00000000" w:rsidRDefault="000E1CA1">
      <w:pPr>
        <w:ind w:left="902"/>
        <w:jc w:val="both"/>
        <w:rPr>
          <w:rFonts w:ascii="Arial" w:hAnsi="Arial" w:cs="Arial"/>
          <w:bCs/>
          <w:snapToGrid w:val="0"/>
        </w:rPr>
      </w:pPr>
    </w:p>
    <w:p w:rsidR="00000000" w:rsidRDefault="000E1CA1" w:rsidP="000E1CA1">
      <w:pPr>
        <w:pStyle w:val="Ttulo1"/>
        <w:numPr>
          <w:ilvl w:val="0"/>
          <w:numId w:val="36"/>
        </w:numPr>
        <w:spacing w:line="480" w:lineRule="auto"/>
        <w:rPr>
          <w:rFonts w:ascii="Arial" w:hAnsi="Arial" w:cs="Arial"/>
          <w:b/>
          <w:i w:val="0"/>
          <w:iCs w:val="0"/>
          <w:lang w:val="es-ES_tradnl"/>
        </w:rPr>
      </w:pPr>
      <w:r>
        <w:rPr>
          <w:rFonts w:ascii="Arial" w:hAnsi="Arial" w:cs="Arial"/>
          <w:b/>
          <w:bCs/>
          <w:i w:val="0"/>
          <w:iCs w:val="0"/>
          <w:lang w:val="es-ES_tradnl"/>
        </w:rPr>
        <w:t>X</w:t>
      </w:r>
      <w:r>
        <w:rPr>
          <w:rFonts w:ascii="Arial" w:hAnsi="Arial" w:cs="Arial"/>
          <w:b/>
          <w:bCs/>
          <w:i w:val="0"/>
          <w:iCs w:val="0"/>
          <w:vertAlign w:val="subscript"/>
          <w:lang w:val="es-ES_tradnl"/>
        </w:rPr>
        <w:t>12</w:t>
      </w:r>
      <w:r>
        <w:rPr>
          <w:rFonts w:ascii="Arial" w:hAnsi="Arial" w:cs="Arial"/>
          <w:i w:val="0"/>
          <w:iCs w:val="0"/>
          <w:lang w:val="es-ES_tradnl"/>
        </w:rPr>
        <w:t>: Balanza Comercial</w:t>
      </w:r>
    </w:p>
    <w:p w:rsidR="00000000" w:rsidRDefault="000E1CA1">
      <w:pPr>
        <w:ind w:left="902"/>
        <w:jc w:val="both"/>
        <w:rPr>
          <w:rFonts w:ascii="Arial" w:hAnsi="Arial" w:cs="Arial"/>
          <w:bCs/>
          <w:snapToGrid w:val="0"/>
        </w:rPr>
      </w:pPr>
    </w:p>
    <w:p w:rsidR="00000000" w:rsidRDefault="000E1CA1">
      <w:pPr>
        <w:ind w:left="902"/>
        <w:jc w:val="both"/>
        <w:rPr>
          <w:rFonts w:ascii="Arial" w:hAnsi="Arial" w:cs="Arial"/>
          <w:bCs/>
          <w:snapToGrid w:val="0"/>
        </w:rPr>
      </w:pPr>
    </w:p>
    <w:p w:rsidR="00000000" w:rsidRDefault="000E1CA1">
      <w:pPr>
        <w:spacing w:line="480" w:lineRule="auto"/>
        <w:ind w:left="902"/>
        <w:jc w:val="both"/>
        <w:rPr>
          <w:rFonts w:ascii="Arial" w:hAnsi="Arial" w:cs="Arial"/>
        </w:rPr>
      </w:pPr>
      <w:r>
        <w:rPr>
          <w:rFonts w:ascii="Arial" w:hAnsi="Arial" w:cs="Arial"/>
        </w:rPr>
        <w:t>Se la denomina “Otros” debido a que las variables ocupan campos diferentes y explica el 14.599% del total de variación.</w:t>
      </w:r>
    </w:p>
    <w:p w:rsidR="00000000" w:rsidRDefault="000E1CA1">
      <w:pPr>
        <w:ind w:left="902"/>
        <w:jc w:val="both"/>
        <w:rPr>
          <w:rFonts w:ascii="Arial" w:hAnsi="Arial" w:cs="Arial"/>
        </w:rPr>
      </w:pPr>
    </w:p>
    <w:p w:rsidR="00000000" w:rsidRDefault="000E1CA1">
      <w:pPr>
        <w:ind w:left="902"/>
        <w:jc w:val="both"/>
        <w:rPr>
          <w:rFonts w:ascii="Arial" w:hAnsi="Arial" w:cs="Arial"/>
        </w:rPr>
      </w:pPr>
      <w:r>
        <w:rPr>
          <w:rFonts w:ascii="Arial" w:hAnsi="Arial" w:cs="Arial"/>
          <w:position w:val="-12"/>
        </w:rPr>
        <w:object w:dxaOrig="4819" w:dyaOrig="360">
          <v:shape id="_x0000_i1136" type="#_x0000_t75" style="width:241pt;height:18pt" o:ole="">
            <v:imagedata r:id="rId242" o:title=""/>
          </v:shape>
          <o:OLEObject Type="Embed" ProgID="Equation.3" ShapeID="_x0000_i1136" DrawAspect="Content" ObjectID="_1308037012" r:id="rId243"/>
        </w:object>
      </w:r>
    </w:p>
    <w:p w:rsidR="00000000" w:rsidRDefault="000E1CA1">
      <w:pPr>
        <w:pStyle w:val="Sangra3detindependiente"/>
        <w:ind w:left="902"/>
        <w:jc w:val="both"/>
      </w:pPr>
    </w:p>
    <w:p w:rsidR="00000000" w:rsidRDefault="000E1CA1"/>
    <w:p w:rsidR="00000000" w:rsidRDefault="000E1CA1"/>
    <w:p w:rsidR="00000000" w:rsidRDefault="000E1CA1"/>
    <w:p w:rsidR="00000000" w:rsidRDefault="000E1CA1">
      <w:pPr>
        <w:spacing w:line="480" w:lineRule="auto"/>
        <w:ind w:left="902"/>
        <w:jc w:val="both"/>
        <w:rPr>
          <w:rFonts w:ascii="Arial" w:hAnsi="Arial" w:cs="Arial"/>
          <w:lang w:val="es-ES_tradnl"/>
        </w:rPr>
      </w:pPr>
    </w:p>
    <w:p w:rsidR="00000000" w:rsidRDefault="000E1CA1">
      <w:pPr>
        <w:jc w:val="both"/>
        <w:rPr>
          <w:rFonts w:ascii="Arial" w:hAnsi="Arial" w:cs="Arial"/>
        </w:rPr>
      </w:pPr>
    </w:p>
    <w:p w:rsidR="00000000" w:rsidRDefault="000E1CA1">
      <w:pPr>
        <w:jc w:val="both"/>
        <w:rPr>
          <w:rFonts w:ascii="Arial" w:hAnsi="Arial" w:cs="Arial"/>
        </w:rPr>
      </w:pPr>
    </w:p>
    <w:p w:rsidR="00000000" w:rsidRDefault="000E1CA1">
      <w:pPr>
        <w:jc w:val="both"/>
        <w:rPr>
          <w:rFonts w:ascii="Arial" w:hAnsi="Arial" w:cs="Arial"/>
        </w:rPr>
      </w:pPr>
    </w:p>
    <w:p w:rsidR="000E1CA1" w:rsidRDefault="000E1CA1">
      <w:pPr>
        <w:jc w:val="both"/>
        <w:rPr>
          <w:rFonts w:ascii="Arial" w:hAnsi="Arial" w:cs="Arial"/>
        </w:rPr>
      </w:pPr>
    </w:p>
    <w:sectPr w:rsidR="000E1CA1">
      <w:headerReference w:type="default" r:id="rId244"/>
      <w:pgSz w:w="11906" w:h="16838"/>
      <w:pgMar w:top="2268" w:right="1361" w:bottom="2268" w:left="2268" w:header="1134" w:footer="811"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CA1" w:rsidRDefault="000E1CA1">
      <w:r>
        <w:separator/>
      </w:r>
    </w:p>
  </w:endnote>
  <w:endnote w:type="continuationSeparator" w:id="1">
    <w:p w:rsidR="000E1CA1" w:rsidRDefault="000E1CA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CA1" w:rsidRDefault="000E1CA1">
      <w:r>
        <w:separator/>
      </w:r>
    </w:p>
  </w:footnote>
  <w:footnote w:type="continuationSeparator" w:id="1">
    <w:p w:rsidR="000E1CA1" w:rsidRDefault="000E1C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E1CA1">
    <w:pPr>
      <w:pStyle w:val="Encabezado"/>
      <w:jc w:val="right"/>
    </w:pPr>
    <w:r>
      <w:rPr>
        <w:rStyle w:val="Nmerodepgina"/>
      </w:rPr>
      <w:fldChar w:fldCharType="begin"/>
    </w:r>
    <w:r>
      <w:rPr>
        <w:rStyle w:val="Nmerodepgina"/>
      </w:rPr>
      <w:instrText xml:space="preserve"> PAGE</w:instrText>
    </w:r>
    <w:r>
      <w:rPr>
        <w:rStyle w:val="Nmerodepgina"/>
      </w:rPr>
      <w:instrText xml:space="preserve"> </w:instrText>
    </w:r>
    <w:r>
      <w:rPr>
        <w:rStyle w:val="Nmerodepgina"/>
      </w:rPr>
      <w:fldChar w:fldCharType="separate"/>
    </w:r>
    <w:r w:rsidR="00266E4B">
      <w:rPr>
        <w:rStyle w:val="Nmerodepgina"/>
        <w:noProof/>
      </w:rPr>
      <w:t>11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3F44"/>
    <w:multiLevelType w:val="hybridMultilevel"/>
    <w:tmpl w:val="8A963C2C"/>
    <w:lvl w:ilvl="0" w:tplc="9DB4ABBC">
      <w:start w:val="1"/>
      <w:numFmt w:val="bullet"/>
      <w:lvlText w:val=""/>
      <w:lvlJc w:val="left"/>
      <w:pPr>
        <w:tabs>
          <w:tab w:val="num" w:pos="1262"/>
        </w:tabs>
        <w:ind w:left="902"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B4B689C"/>
    <w:multiLevelType w:val="hybridMultilevel"/>
    <w:tmpl w:val="D18A4AD0"/>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2">
    <w:nsid w:val="0C9F6513"/>
    <w:multiLevelType w:val="hybridMultilevel"/>
    <w:tmpl w:val="CCCAE83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4287592"/>
    <w:multiLevelType w:val="hybridMultilevel"/>
    <w:tmpl w:val="7856E618"/>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4">
    <w:nsid w:val="16BF51F5"/>
    <w:multiLevelType w:val="hybridMultilevel"/>
    <w:tmpl w:val="EDA8DFF0"/>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5">
    <w:nsid w:val="20627792"/>
    <w:multiLevelType w:val="multilevel"/>
    <w:tmpl w:val="F272B3C6"/>
    <w:lvl w:ilvl="0">
      <w:start w:val="1"/>
      <w:numFmt w:val="decimal"/>
      <w:lvlText w:val="%1"/>
      <w:lvlJc w:val="left"/>
      <w:pPr>
        <w:tabs>
          <w:tab w:val="num" w:pos="915"/>
        </w:tabs>
        <w:ind w:left="915" w:hanging="915"/>
      </w:pPr>
      <w:rPr>
        <w:rFonts w:hint="default"/>
      </w:rPr>
    </w:lvl>
    <w:lvl w:ilvl="1">
      <w:start w:val="2"/>
      <w:numFmt w:val="decimal"/>
      <w:lvlText w:val="%1.%2"/>
      <w:lvlJc w:val="left"/>
      <w:pPr>
        <w:tabs>
          <w:tab w:val="num" w:pos="1215"/>
        </w:tabs>
        <w:ind w:left="1215" w:hanging="915"/>
      </w:pPr>
      <w:rPr>
        <w:rFonts w:hint="default"/>
      </w:rPr>
    </w:lvl>
    <w:lvl w:ilvl="2">
      <w:start w:val="2"/>
      <w:numFmt w:val="decimal"/>
      <w:lvlText w:val="%1.%2.%3"/>
      <w:lvlJc w:val="left"/>
      <w:pPr>
        <w:tabs>
          <w:tab w:val="num" w:pos="1515"/>
        </w:tabs>
        <w:ind w:left="1515" w:hanging="915"/>
      </w:pPr>
      <w:rPr>
        <w:rFonts w:hint="default"/>
      </w:rPr>
    </w:lvl>
    <w:lvl w:ilvl="3">
      <w:start w:val="2"/>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6">
    <w:nsid w:val="20A1096D"/>
    <w:multiLevelType w:val="hybridMultilevel"/>
    <w:tmpl w:val="89307CF8"/>
    <w:lvl w:ilvl="0" w:tplc="A00692EC">
      <w:start w:val="1"/>
      <w:numFmt w:val="bullet"/>
      <w:lvlText w:val=""/>
      <w:lvlJc w:val="left"/>
      <w:pPr>
        <w:tabs>
          <w:tab w:val="num" w:pos="1262"/>
        </w:tabs>
        <w:ind w:left="902" w:firstLine="0"/>
      </w:pPr>
      <w:rPr>
        <w:rFonts w:ascii="Wingdings" w:hAnsi="Wingdings"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7">
    <w:nsid w:val="223D2602"/>
    <w:multiLevelType w:val="hybridMultilevel"/>
    <w:tmpl w:val="C9A412A0"/>
    <w:lvl w:ilvl="0" w:tplc="0C0A000F">
      <w:start w:val="1"/>
      <w:numFmt w:val="decimal"/>
      <w:lvlText w:val="%1."/>
      <w:lvlJc w:val="left"/>
      <w:pPr>
        <w:tabs>
          <w:tab w:val="num" w:pos="1622"/>
        </w:tabs>
        <w:ind w:left="1622" w:hanging="360"/>
      </w:pPr>
    </w:lvl>
    <w:lvl w:ilvl="1" w:tplc="0C0A0019" w:tentative="1">
      <w:start w:val="1"/>
      <w:numFmt w:val="lowerLetter"/>
      <w:lvlText w:val="%2."/>
      <w:lvlJc w:val="left"/>
      <w:pPr>
        <w:tabs>
          <w:tab w:val="num" w:pos="2342"/>
        </w:tabs>
        <w:ind w:left="2342" w:hanging="360"/>
      </w:pPr>
    </w:lvl>
    <w:lvl w:ilvl="2" w:tplc="0C0A001B" w:tentative="1">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8">
    <w:nsid w:val="255269FC"/>
    <w:multiLevelType w:val="hybridMultilevel"/>
    <w:tmpl w:val="83DC17D8"/>
    <w:lvl w:ilvl="0" w:tplc="181C4A6E">
      <w:start w:val="1"/>
      <w:numFmt w:val="decimal"/>
      <w:lvlText w:val="%1."/>
      <w:lvlJc w:val="left"/>
      <w:pPr>
        <w:tabs>
          <w:tab w:val="num" w:pos="720"/>
        </w:tabs>
        <w:ind w:left="720" w:hanging="360"/>
      </w:pPr>
      <w:rPr>
        <w:rFonts w:hint="default"/>
      </w:rPr>
    </w:lvl>
    <w:lvl w:ilvl="1" w:tplc="CBA8A9A4">
      <w:numFmt w:val="none"/>
      <w:lvlText w:val=""/>
      <w:lvlJc w:val="left"/>
      <w:pPr>
        <w:tabs>
          <w:tab w:val="num" w:pos="360"/>
        </w:tabs>
      </w:pPr>
    </w:lvl>
    <w:lvl w:ilvl="2" w:tplc="98AEF1A8">
      <w:numFmt w:val="none"/>
      <w:lvlText w:val=""/>
      <w:lvlJc w:val="left"/>
      <w:pPr>
        <w:tabs>
          <w:tab w:val="num" w:pos="360"/>
        </w:tabs>
      </w:pPr>
    </w:lvl>
    <w:lvl w:ilvl="3" w:tplc="6598D732">
      <w:numFmt w:val="none"/>
      <w:lvlText w:val=""/>
      <w:lvlJc w:val="left"/>
      <w:pPr>
        <w:tabs>
          <w:tab w:val="num" w:pos="360"/>
        </w:tabs>
      </w:pPr>
    </w:lvl>
    <w:lvl w:ilvl="4" w:tplc="10C836E0">
      <w:numFmt w:val="none"/>
      <w:lvlText w:val=""/>
      <w:lvlJc w:val="left"/>
      <w:pPr>
        <w:tabs>
          <w:tab w:val="num" w:pos="360"/>
        </w:tabs>
      </w:pPr>
    </w:lvl>
    <w:lvl w:ilvl="5" w:tplc="A142DF76">
      <w:numFmt w:val="none"/>
      <w:lvlText w:val=""/>
      <w:lvlJc w:val="left"/>
      <w:pPr>
        <w:tabs>
          <w:tab w:val="num" w:pos="360"/>
        </w:tabs>
      </w:pPr>
    </w:lvl>
    <w:lvl w:ilvl="6" w:tplc="718A5E48">
      <w:numFmt w:val="none"/>
      <w:lvlText w:val=""/>
      <w:lvlJc w:val="left"/>
      <w:pPr>
        <w:tabs>
          <w:tab w:val="num" w:pos="360"/>
        </w:tabs>
      </w:pPr>
    </w:lvl>
    <w:lvl w:ilvl="7" w:tplc="71B0C75A">
      <w:numFmt w:val="none"/>
      <w:lvlText w:val=""/>
      <w:lvlJc w:val="left"/>
      <w:pPr>
        <w:tabs>
          <w:tab w:val="num" w:pos="360"/>
        </w:tabs>
      </w:pPr>
    </w:lvl>
    <w:lvl w:ilvl="8" w:tplc="459E0D20">
      <w:numFmt w:val="none"/>
      <w:lvlText w:val=""/>
      <w:lvlJc w:val="left"/>
      <w:pPr>
        <w:tabs>
          <w:tab w:val="num" w:pos="360"/>
        </w:tabs>
      </w:pPr>
    </w:lvl>
  </w:abstractNum>
  <w:abstractNum w:abstractNumId="9">
    <w:nsid w:val="2795265E"/>
    <w:multiLevelType w:val="hybridMultilevel"/>
    <w:tmpl w:val="DA2663C8"/>
    <w:lvl w:ilvl="0" w:tplc="0C0A0003">
      <w:start w:val="1"/>
      <w:numFmt w:val="bullet"/>
      <w:lvlText w:val="o"/>
      <w:lvlJc w:val="left"/>
      <w:pPr>
        <w:tabs>
          <w:tab w:val="num" w:pos="1262"/>
        </w:tabs>
        <w:ind w:left="126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10">
    <w:nsid w:val="29502C3F"/>
    <w:multiLevelType w:val="hybridMultilevel"/>
    <w:tmpl w:val="D64230C8"/>
    <w:lvl w:ilvl="0" w:tplc="B87289E2">
      <w:start w:val="1"/>
      <w:numFmt w:val="decimal"/>
      <w:lvlText w:val="%1."/>
      <w:lvlJc w:val="left"/>
      <w:pPr>
        <w:tabs>
          <w:tab w:val="num" w:pos="720"/>
        </w:tabs>
        <w:ind w:left="720" w:hanging="360"/>
      </w:pPr>
    </w:lvl>
    <w:lvl w:ilvl="1" w:tplc="24F40640">
      <w:numFmt w:val="none"/>
      <w:lvlText w:val=""/>
      <w:lvlJc w:val="left"/>
      <w:pPr>
        <w:tabs>
          <w:tab w:val="num" w:pos="360"/>
        </w:tabs>
      </w:pPr>
    </w:lvl>
    <w:lvl w:ilvl="2" w:tplc="3F203C96">
      <w:numFmt w:val="none"/>
      <w:lvlText w:val=""/>
      <w:lvlJc w:val="left"/>
      <w:pPr>
        <w:tabs>
          <w:tab w:val="num" w:pos="360"/>
        </w:tabs>
      </w:pPr>
    </w:lvl>
    <w:lvl w:ilvl="3" w:tplc="BFDE526E">
      <w:numFmt w:val="none"/>
      <w:lvlText w:val=""/>
      <w:lvlJc w:val="left"/>
      <w:pPr>
        <w:tabs>
          <w:tab w:val="num" w:pos="360"/>
        </w:tabs>
      </w:pPr>
    </w:lvl>
    <w:lvl w:ilvl="4" w:tplc="CDF02EEA">
      <w:numFmt w:val="none"/>
      <w:lvlText w:val=""/>
      <w:lvlJc w:val="left"/>
      <w:pPr>
        <w:tabs>
          <w:tab w:val="num" w:pos="360"/>
        </w:tabs>
      </w:pPr>
    </w:lvl>
    <w:lvl w:ilvl="5" w:tplc="2232608A">
      <w:numFmt w:val="none"/>
      <w:lvlText w:val=""/>
      <w:lvlJc w:val="left"/>
      <w:pPr>
        <w:tabs>
          <w:tab w:val="num" w:pos="360"/>
        </w:tabs>
      </w:pPr>
    </w:lvl>
    <w:lvl w:ilvl="6" w:tplc="F148F81A">
      <w:numFmt w:val="none"/>
      <w:lvlText w:val=""/>
      <w:lvlJc w:val="left"/>
      <w:pPr>
        <w:tabs>
          <w:tab w:val="num" w:pos="360"/>
        </w:tabs>
      </w:pPr>
    </w:lvl>
    <w:lvl w:ilvl="7" w:tplc="7FE62B74">
      <w:numFmt w:val="none"/>
      <w:lvlText w:val=""/>
      <w:lvlJc w:val="left"/>
      <w:pPr>
        <w:tabs>
          <w:tab w:val="num" w:pos="360"/>
        </w:tabs>
      </w:pPr>
    </w:lvl>
    <w:lvl w:ilvl="8" w:tplc="7DB272EA">
      <w:numFmt w:val="none"/>
      <w:lvlText w:val=""/>
      <w:lvlJc w:val="left"/>
      <w:pPr>
        <w:tabs>
          <w:tab w:val="num" w:pos="360"/>
        </w:tabs>
      </w:pPr>
    </w:lvl>
  </w:abstractNum>
  <w:abstractNum w:abstractNumId="11">
    <w:nsid w:val="29845DBB"/>
    <w:multiLevelType w:val="multilevel"/>
    <w:tmpl w:val="3AA65D7E"/>
    <w:lvl w:ilvl="0">
      <w:start w:val="1"/>
      <w:numFmt w:val="decimal"/>
      <w:lvlText w:val="%1"/>
      <w:lvlJc w:val="left"/>
      <w:pPr>
        <w:tabs>
          <w:tab w:val="num" w:pos="525"/>
        </w:tabs>
        <w:ind w:left="525" w:hanging="525"/>
      </w:pPr>
      <w:rPr>
        <w:rFonts w:hint="default"/>
      </w:rPr>
    </w:lvl>
    <w:lvl w:ilvl="1">
      <w:start w:val="5"/>
      <w:numFmt w:val="decimal"/>
      <w:lvlText w:val="%1.%2"/>
      <w:lvlJc w:val="left"/>
      <w:pPr>
        <w:tabs>
          <w:tab w:val="num" w:pos="976"/>
        </w:tabs>
        <w:ind w:left="976" w:hanging="525"/>
      </w:pPr>
      <w:rPr>
        <w:rFonts w:hint="default"/>
      </w:rPr>
    </w:lvl>
    <w:lvl w:ilvl="2">
      <w:start w:val="1"/>
      <w:numFmt w:val="decimal"/>
      <w:lvlText w:val="%1.%2.%3"/>
      <w:lvlJc w:val="left"/>
      <w:pPr>
        <w:tabs>
          <w:tab w:val="num" w:pos="1622"/>
        </w:tabs>
        <w:ind w:left="1622" w:hanging="720"/>
      </w:pPr>
      <w:rPr>
        <w:rFonts w:hint="default"/>
      </w:rPr>
    </w:lvl>
    <w:lvl w:ilvl="3">
      <w:start w:val="1"/>
      <w:numFmt w:val="decimal"/>
      <w:lvlText w:val="%1.%2.%3.%4"/>
      <w:lvlJc w:val="left"/>
      <w:pPr>
        <w:tabs>
          <w:tab w:val="num" w:pos="2433"/>
        </w:tabs>
        <w:ind w:left="2433" w:hanging="1080"/>
      </w:pPr>
      <w:rPr>
        <w:rFonts w:hint="default"/>
      </w:rPr>
    </w:lvl>
    <w:lvl w:ilvl="4">
      <w:start w:val="1"/>
      <w:numFmt w:val="decimal"/>
      <w:lvlText w:val="%1.%2.%3.%4.%5"/>
      <w:lvlJc w:val="left"/>
      <w:pPr>
        <w:tabs>
          <w:tab w:val="num" w:pos="2884"/>
        </w:tabs>
        <w:ind w:left="2884" w:hanging="1080"/>
      </w:pPr>
      <w:rPr>
        <w:rFonts w:hint="default"/>
      </w:rPr>
    </w:lvl>
    <w:lvl w:ilvl="5">
      <w:start w:val="1"/>
      <w:numFmt w:val="decimal"/>
      <w:lvlText w:val="%1.%2.%3.%4.%5.%6"/>
      <w:lvlJc w:val="left"/>
      <w:pPr>
        <w:tabs>
          <w:tab w:val="num" w:pos="3695"/>
        </w:tabs>
        <w:ind w:left="3695" w:hanging="1440"/>
      </w:pPr>
      <w:rPr>
        <w:rFonts w:hint="default"/>
      </w:rPr>
    </w:lvl>
    <w:lvl w:ilvl="6">
      <w:start w:val="1"/>
      <w:numFmt w:val="decimal"/>
      <w:lvlText w:val="%1.%2.%3.%4.%5.%6.%7"/>
      <w:lvlJc w:val="left"/>
      <w:pPr>
        <w:tabs>
          <w:tab w:val="num" w:pos="4146"/>
        </w:tabs>
        <w:ind w:left="4146" w:hanging="1440"/>
      </w:pPr>
      <w:rPr>
        <w:rFonts w:hint="default"/>
      </w:rPr>
    </w:lvl>
    <w:lvl w:ilvl="7">
      <w:start w:val="1"/>
      <w:numFmt w:val="decimal"/>
      <w:lvlText w:val="%1.%2.%3.%4.%5.%6.%7.%8"/>
      <w:lvlJc w:val="left"/>
      <w:pPr>
        <w:tabs>
          <w:tab w:val="num" w:pos="4957"/>
        </w:tabs>
        <w:ind w:left="4957" w:hanging="1800"/>
      </w:pPr>
      <w:rPr>
        <w:rFonts w:hint="default"/>
      </w:rPr>
    </w:lvl>
    <w:lvl w:ilvl="8">
      <w:start w:val="1"/>
      <w:numFmt w:val="decimal"/>
      <w:lvlText w:val="%1.%2.%3.%4.%5.%6.%7.%8.%9"/>
      <w:lvlJc w:val="left"/>
      <w:pPr>
        <w:tabs>
          <w:tab w:val="num" w:pos="5408"/>
        </w:tabs>
        <w:ind w:left="5408" w:hanging="1800"/>
      </w:pPr>
      <w:rPr>
        <w:rFonts w:hint="default"/>
      </w:rPr>
    </w:lvl>
  </w:abstractNum>
  <w:abstractNum w:abstractNumId="12">
    <w:nsid w:val="2B120288"/>
    <w:multiLevelType w:val="hybridMultilevel"/>
    <w:tmpl w:val="B5E0096C"/>
    <w:lvl w:ilvl="0" w:tplc="C76ABF54">
      <w:start w:val="1"/>
      <w:numFmt w:val="lowerLetter"/>
      <w:lvlText w:val="%1)"/>
      <w:lvlJc w:val="left"/>
      <w:pPr>
        <w:tabs>
          <w:tab w:val="num" w:pos="1262"/>
        </w:tabs>
        <w:ind w:left="902" w:firstLine="0"/>
      </w:pPr>
      <w:rPr>
        <w:rFonts w:hint="default"/>
      </w:rPr>
    </w:lvl>
    <w:lvl w:ilvl="1" w:tplc="A00692EC">
      <w:start w:val="1"/>
      <w:numFmt w:val="bullet"/>
      <w:lvlText w:val=""/>
      <w:lvlJc w:val="left"/>
      <w:pPr>
        <w:tabs>
          <w:tab w:val="num" w:pos="2342"/>
        </w:tabs>
        <w:ind w:left="1982" w:firstLine="0"/>
      </w:pPr>
      <w:rPr>
        <w:rFonts w:ascii="Wingdings" w:hAnsi="Wingdings" w:hint="default"/>
      </w:rPr>
    </w:lvl>
    <w:lvl w:ilvl="2" w:tplc="0C0A001B">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13">
    <w:nsid w:val="31816241"/>
    <w:multiLevelType w:val="hybridMultilevel"/>
    <w:tmpl w:val="DA2663C8"/>
    <w:lvl w:ilvl="0" w:tplc="0C0A0003">
      <w:start w:val="1"/>
      <w:numFmt w:val="bullet"/>
      <w:lvlText w:val="o"/>
      <w:lvlJc w:val="left"/>
      <w:pPr>
        <w:tabs>
          <w:tab w:val="num" w:pos="1262"/>
        </w:tabs>
        <w:ind w:left="126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14">
    <w:nsid w:val="31AF4677"/>
    <w:multiLevelType w:val="hybridMultilevel"/>
    <w:tmpl w:val="2EF85D56"/>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15">
    <w:nsid w:val="3434668E"/>
    <w:multiLevelType w:val="multilevel"/>
    <w:tmpl w:val="613A7FC0"/>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942"/>
        </w:tabs>
        <w:ind w:left="942" w:hanging="585"/>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4656"/>
        </w:tabs>
        <w:ind w:left="4656" w:hanging="1800"/>
      </w:pPr>
      <w:rPr>
        <w:rFonts w:hint="default"/>
      </w:rPr>
    </w:lvl>
  </w:abstractNum>
  <w:abstractNum w:abstractNumId="16">
    <w:nsid w:val="34A83C14"/>
    <w:multiLevelType w:val="hybridMultilevel"/>
    <w:tmpl w:val="1D3014F8"/>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17">
    <w:nsid w:val="350A07D5"/>
    <w:multiLevelType w:val="multilevel"/>
    <w:tmpl w:val="7388960C"/>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976"/>
        </w:tabs>
        <w:ind w:left="976" w:hanging="525"/>
      </w:pPr>
      <w:rPr>
        <w:rFonts w:hint="default"/>
      </w:rPr>
    </w:lvl>
    <w:lvl w:ilvl="2">
      <w:start w:val="3"/>
      <w:numFmt w:val="decimal"/>
      <w:lvlText w:val="%1.%2.%3"/>
      <w:lvlJc w:val="left"/>
      <w:pPr>
        <w:tabs>
          <w:tab w:val="num" w:pos="1622"/>
        </w:tabs>
        <w:ind w:left="1622" w:hanging="720"/>
      </w:pPr>
      <w:rPr>
        <w:rFonts w:hint="default"/>
      </w:rPr>
    </w:lvl>
    <w:lvl w:ilvl="3">
      <w:start w:val="1"/>
      <w:numFmt w:val="decimal"/>
      <w:lvlText w:val="%1.%2.%3.%4"/>
      <w:lvlJc w:val="left"/>
      <w:pPr>
        <w:tabs>
          <w:tab w:val="num" w:pos="2433"/>
        </w:tabs>
        <w:ind w:left="2433" w:hanging="1080"/>
      </w:pPr>
      <w:rPr>
        <w:rFonts w:hint="default"/>
      </w:rPr>
    </w:lvl>
    <w:lvl w:ilvl="4">
      <w:start w:val="1"/>
      <w:numFmt w:val="decimal"/>
      <w:lvlText w:val="%1.%2.%3.%4.%5"/>
      <w:lvlJc w:val="left"/>
      <w:pPr>
        <w:tabs>
          <w:tab w:val="num" w:pos="2884"/>
        </w:tabs>
        <w:ind w:left="2884" w:hanging="1080"/>
      </w:pPr>
      <w:rPr>
        <w:rFonts w:hint="default"/>
      </w:rPr>
    </w:lvl>
    <w:lvl w:ilvl="5">
      <w:start w:val="1"/>
      <w:numFmt w:val="decimal"/>
      <w:lvlText w:val="%1.%2.%3.%4.%5.%6"/>
      <w:lvlJc w:val="left"/>
      <w:pPr>
        <w:tabs>
          <w:tab w:val="num" w:pos="3695"/>
        </w:tabs>
        <w:ind w:left="3695" w:hanging="1440"/>
      </w:pPr>
      <w:rPr>
        <w:rFonts w:hint="default"/>
      </w:rPr>
    </w:lvl>
    <w:lvl w:ilvl="6">
      <w:start w:val="1"/>
      <w:numFmt w:val="decimal"/>
      <w:lvlText w:val="%1.%2.%3.%4.%5.%6.%7"/>
      <w:lvlJc w:val="left"/>
      <w:pPr>
        <w:tabs>
          <w:tab w:val="num" w:pos="4146"/>
        </w:tabs>
        <w:ind w:left="4146" w:hanging="1440"/>
      </w:pPr>
      <w:rPr>
        <w:rFonts w:hint="default"/>
      </w:rPr>
    </w:lvl>
    <w:lvl w:ilvl="7">
      <w:start w:val="1"/>
      <w:numFmt w:val="decimal"/>
      <w:lvlText w:val="%1.%2.%3.%4.%5.%6.%7.%8"/>
      <w:lvlJc w:val="left"/>
      <w:pPr>
        <w:tabs>
          <w:tab w:val="num" w:pos="4957"/>
        </w:tabs>
        <w:ind w:left="4957" w:hanging="1800"/>
      </w:pPr>
      <w:rPr>
        <w:rFonts w:hint="default"/>
      </w:rPr>
    </w:lvl>
    <w:lvl w:ilvl="8">
      <w:start w:val="1"/>
      <w:numFmt w:val="decimal"/>
      <w:lvlText w:val="%1.%2.%3.%4.%5.%6.%7.%8.%9"/>
      <w:lvlJc w:val="left"/>
      <w:pPr>
        <w:tabs>
          <w:tab w:val="num" w:pos="5408"/>
        </w:tabs>
        <w:ind w:left="5408" w:hanging="1800"/>
      </w:pPr>
      <w:rPr>
        <w:rFonts w:hint="default"/>
      </w:rPr>
    </w:lvl>
  </w:abstractNum>
  <w:abstractNum w:abstractNumId="18">
    <w:nsid w:val="36366B37"/>
    <w:multiLevelType w:val="hybridMultilevel"/>
    <w:tmpl w:val="EDFC75AE"/>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19">
    <w:nsid w:val="416A34EA"/>
    <w:multiLevelType w:val="hybridMultilevel"/>
    <w:tmpl w:val="59D48B82"/>
    <w:lvl w:ilvl="0" w:tplc="0C0A000F">
      <w:start w:val="1"/>
      <w:numFmt w:val="decimal"/>
      <w:lvlText w:val="%1."/>
      <w:lvlJc w:val="left"/>
      <w:pPr>
        <w:tabs>
          <w:tab w:val="num" w:pos="1622"/>
        </w:tabs>
        <w:ind w:left="1622" w:hanging="360"/>
      </w:pPr>
    </w:lvl>
    <w:lvl w:ilvl="1" w:tplc="0C0A0019" w:tentative="1">
      <w:start w:val="1"/>
      <w:numFmt w:val="lowerLetter"/>
      <w:lvlText w:val="%2."/>
      <w:lvlJc w:val="left"/>
      <w:pPr>
        <w:tabs>
          <w:tab w:val="num" w:pos="2342"/>
        </w:tabs>
        <w:ind w:left="2342" w:hanging="360"/>
      </w:pPr>
    </w:lvl>
    <w:lvl w:ilvl="2" w:tplc="0C0A001B" w:tentative="1">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20">
    <w:nsid w:val="45A46A7A"/>
    <w:multiLevelType w:val="hybridMultilevel"/>
    <w:tmpl w:val="2F88F95C"/>
    <w:lvl w:ilvl="0" w:tplc="0C0A000F">
      <w:start w:val="1"/>
      <w:numFmt w:val="decimal"/>
      <w:lvlText w:val="%1."/>
      <w:lvlJc w:val="left"/>
      <w:pPr>
        <w:tabs>
          <w:tab w:val="num" w:pos="1622"/>
        </w:tabs>
        <w:ind w:left="1622" w:hanging="360"/>
      </w:pPr>
    </w:lvl>
    <w:lvl w:ilvl="1" w:tplc="0C0A0019" w:tentative="1">
      <w:start w:val="1"/>
      <w:numFmt w:val="lowerLetter"/>
      <w:lvlText w:val="%2."/>
      <w:lvlJc w:val="left"/>
      <w:pPr>
        <w:tabs>
          <w:tab w:val="num" w:pos="2342"/>
        </w:tabs>
        <w:ind w:left="2342" w:hanging="360"/>
      </w:pPr>
    </w:lvl>
    <w:lvl w:ilvl="2" w:tplc="0C0A001B" w:tentative="1">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21">
    <w:nsid w:val="49FA4186"/>
    <w:multiLevelType w:val="hybridMultilevel"/>
    <w:tmpl w:val="17403038"/>
    <w:lvl w:ilvl="0" w:tplc="6284E8EE">
      <w:start w:val="1"/>
      <w:numFmt w:val="decimal"/>
      <w:lvlText w:val="%1."/>
      <w:lvlJc w:val="left"/>
      <w:pPr>
        <w:tabs>
          <w:tab w:val="num" w:pos="1622"/>
        </w:tabs>
        <w:ind w:left="1622" w:hanging="360"/>
      </w:pPr>
    </w:lvl>
    <w:lvl w:ilvl="1" w:tplc="B09850FC">
      <w:numFmt w:val="none"/>
      <w:lvlText w:val=""/>
      <w:lvlJc w:val="left"/>
      <w:pPr>
        <w:tabs>
          <w:tab w:val="num" w:pos="360"/>
        </w:tabs>
      </w:pPr>
    </w:lvl>
    <w:lvl w:ilvl="2" w:tplc="66E26E66">
      <w:numFmt w:val="none"/>
      <w:lvlText w:val=""/>
      <w:lvlJc w:val="left"/>
      <w:pPr>
        <w:tabs>
          <w:tab w:val="num" w:pos="360"/>
        </w:tabs>
      </w:pPr>
    </w:lvl>
    <w:lvl w:ilvl="3" w:tplc="9B2EACF2">
      <w:numFmt w:val="none"/>
      <w:lvlText w:val=""/>
      <w:lvlJc w:val="left"/>
      <w:pPr>
        <w:tabs>
          <w:tab w:val="num" w:pos="360"/>
        </w:tabs>
      </w:pPr>
    </w:lvl>
    <w:lvl w:ilvl="4" w:tplc="473656BE">
      <w:numFmt w:val="none"/>
      <w:lvlText w:val=""/>
      <w:lvlJc w:val="left"/>
      <w:pPr>
        <w:tabs>
          <w:tab w:val="num" w:pos="360"/>
        </w:tabs>
      </w:pPr>
    </w:lvl>
    <w:lvl w:ilvl="5" w:tplc="3F76E192">
      <w:numFmt w:val="none"/>
      <w:lvlText w:val=""/>
      <w:lvlJc w:val="left"/>
      <w:pPr>
        <w:tabs>
          <w:tab w:val="num" w:pos="360"/>
        </w:tabs>
      </w:pPr>
    </w:lvl>
    <w:lvl w:ilvl="6" w:tplc="5282AFC2">
      <w:numFmt w:val="none"/>
      <w:lvlText w:val=""/>
      <w:lvlJc w:val="left"/>
      <w:pPr>
        <w:tabs>
          <w:tab w:val="num" w:pos="360"/>
        </w:tabs>
      </w:pPr>
    </w:lvl>
    <w:lvl w:ilvl="7" w:tplc="2ECA84D2">
      <w:numFmt w:val="none"/>
      <w:lvlText w:val=""/>
      <w:lvlJc w:val="left"/>
      <w:pPr>
        <w:tabs>
          <w:tab w:val="num" w:pos="360"/>
        </w:tabs>
      </w:pPr>
    </w:lvl>
    <w:lvl w:ilvl="8" w:tplc="0520F538">
      <w:numFmt w:val="none"/>
      <w:lvlText w:val=""/>
      <w:lvlJc w:val="left"/>
      <w:pPr>
        <w:tabs>
          <w:tab w:val="num" w:pos="360"/>
        </w:tabs>
      </w:pPr>
    </w:lvl>
  </w:abstractNum>
  <w:abstractNum w:abstractNumId="22">
    <w:nsid w:val="4DD3686B"/>
    <w:multiLevelType w:val="hybridMultilevel"/>
    <w:tmpl w:val="19542310"/>
    <w:lvl w:ilvl="0" w:tplc="0C0A000F">
      <w:start w:val="1"/>
      <w:numFmt w:val="decimal"/>
      <w:lvlText w:val="%1."/>
      <w:lvlJc w:val="left"/>
      <w:pPr>
        <w:tabs>
          <w:tab w:val="num" w:pos="1622"/>
        </w:tabs>
        <w:ind w:left="1622" w:hanging="360"/>
      </w:pPr>
    </w:lvl>
    <w:lvl w:ilvl="1" w:tplc="0C0A0019" w:tentative="1">
      <w:start w:val="1"/>
      <w:numFmt w:val="lowerLetter"/>
      <w:lvlText w:val="%2."/>
      <w:lvlJc w:val="left"/>
      <w:pPr>
        <w:tabs>
          <w:tab w:val="num" w:pos="2342"/>
        </w:tabs>
        <w:ind w:left="2342" w:hanging="360"/>
      </w:pPr>
    </w:lvl>
    <w:lvl w:ilvl="2" w:tplc="0C0A001B" w:tentative="1">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23">
    <w:nsid w:val="5209681D"/>
    <w:multiLevelType w:val="hybridMultilevel"/>
    <w:tmpl w:val="D96CABC6"/>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24">
    <w:nsid w:val="52FA77FD"/>
    <w:multiLevelType w:val="hybridMultilevel"/>
    <w:tmpl w:val="14E4D3D6"/>
    <w:lvl w:ilvl="0" w:tplc="6F628CBC">
      <w:start w:val="1"/>
      <w:numFmt w:val="decimal"/>
      <w:lvlText w:val="%1."/>
      <w:lvlJc w:val="left"/>
      <w:pPr>
        <w:tabs>
          <w:tab w:val="num" w:pos="1622"/>
        </w:tabs>
        <w:ind w:left="1622" w:hanging="360"/>
      </w:pPr>
    </w:lvl>
    <w:lvl w:ilvl="1" w:tplc="7B808182">
      <w:numFmt w:val="none"/>
      <w:lvlText w:val=""/>
      <w:lvlJc w:val="left"/>
      <w:pPr>
        <w:tabs>
          <w:tab w:val="num" w:pos="360"/>
        </w:tabs>
      </w:pPr>
    </w:lvl>
    <w:lvl w:ilvl="2" w:tplc="C852AE9C">
      <w:numFmt w:val="none"/>
      <w:lvlText w:val=""/>
      <w:lvlJc w:val="left"/>
      <w:pPr>
        <w:tabs>
          <w:tab w:val="num" w:pos="360"/>
        </w:tabs>
      </w:pPr>
    </w:lvl>
    <w:lvl w:ilvl="3" w:tplc="115C5366">
      <w:numFmt w:val="none"/>
      <w:lvlText w:val=""/>
      <w:lvlJc w:val="left"/>
      <w:pPr>
        <w:tabs>
          <w:tab w:val="num" w:pos="360"/>
        </w:tabs>
      </w:pPr>
    </w:lvl>
    <w:lvl w:ilvl="4" w:tplc="C10808DA">
      <w:numFmt w:val="none"/>
      <w:lvlText w:val=""/>
      <w:lvlJc w:val="left"/>
      <w:pPr>
        <w:tabs>
          <w:tab w:val="num" w:pos="360"/>
        </w:tabs>
      </w:pPr>
    </w:lvl>
    <w:lvl w:ilvl="5" w:tplc="D28A9C58">
      <w:numFmt w:val="none"/>
      <w:lvlText w:val=""/>
      <w:lvlJc w:val="left"/>
      <w:pPr>
        <w:tabs>
          <w:tab w:val="num" w:pos="360"/>
        </w:tabs>
      </w:pPr>
    </w:lvl>
    <w:lvl w:ilvl="6" w:tplc="57C212EC">
      <w:numFmt w:val="none"/>
      <w:lvlText w:val=""/>
      <w:lvlJc w:val="left"/>
      <w:pPr>
        <w:tabs>
          <w:tab w:val="num" w:pos="360"/>
        </w:tabs>
      </w:pPr>
    </w:lvl>
    <w:lvl w:ilvl="7" w:tplc="6DF834EC">
      <w:numFmt w:val="none"/>
      <w:lvlText w:val=""/>
      <w:lvlJc w:val="left"/>
      <w:pPr>
        <w:tabs>
          <w:tab w:val="num" w:pos="360"/>
        </w:tabs>
      </w:pPr>
    </w:lvl>
    <w:lvl w:ilvl="8" w:tplc="B9D487E2">
      <w:numFmt w:val="none"/>
      <w:lvlText w:val=""/>
      <w:lvlJc w:val="left"/>
      <w:pPr>
        <w:tabs>
          <w:tab w:val="num" w:pos="360"/>
        </w:tabs>
      </w:pPr>
    </w:lvl>
  </w:abstractNum>
  <w:abstractNum w:abstractNumId="25">
    <w:nsid w:val="5F5A5BB8"/>
    <w:multiLevelType w:val="hybridMultilevel"/>
    <w:tmpl w:val="EE7EDB28"/>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26">
    <w:nsid w:val="61EB3D24"/>
    <w:multiLevelType w:val="hybridMultilevel"/>
    <w:tmpl w:val="AB183F8A"/>
    <w:lvl w:ilvl="0" w:tplc="9DB4ABBC">
      <w:start w:val="1"/>
      <w:numFmt w:val="bullet"/>
      <w:lvlText w:val=""/>
      <w:lvlJc w:val="left"/>
      <w:pPr>
        <w:tabs>
          <w:tab w:val="num" w:pos="1262"/>
        </w:tabs>
        <w:ind w:left="902"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22D3056"/>
    <w:multiLevelType w:val="hybridMultilevel"/>
    <w:tmpl w:val="1B32C0D2"/>
    <w:lvl w:ilvl="0" w:tplc="8884AC02">
      <w:start w:val="1"/>
      <w:numFmt w:val="decimal"/>
      <w:lvlText w:val="%1."/>
      <w:lvlJc w:val="left"/>
      <w:pPr>
        <w:tabs>
          <w:tab w:val="num" w:pos="1682"/>
        </w:tabs>
        <w:ind w:left="1682" w:hanging="420"/>
      </w:pPr>
      <w:rPr>
        <w:rFonts w:hint="default"/>
      </w:rPr>
    </w:lvl>
    <w:lvl w:ilvl="1" w:tplc="0C0A0019" w:tentative="1">
      <w:start w:val="1"/>
      <w:numFmt w:val="lowerLetter"/>
      <w:lvlText w:val="%2."/>
      <w:lvlJc w:val="left"/>
      <w:pPr>
        <w:tabs>
          <w:tab w:val="num" w:pos="2342"/>
        </w:tabs>
        <w:ind w:left="2342" w:hanging="360"/>
      </w:pPr>
    </w:lvl>
    <w:lvl w:ilvl="2" w:tplc="0C0A001B" w:tentative="1">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28">
    <w:nsid w:val="6B0A2182"/>
    <w:multiLevelType w:val="hybridMultilevel"/>
    <w:tmpl w:val="461AD6C0"/>
    <w:lvl w:ilvl="0" w:tplc="C76ABF54">
      <w:start w:val="1"/>
      <w:numFmt w:val="lowerLetter"/>
      <w:lvlText w:val="%1)"/>
      <w:lvlJc w:val="left"/>
      <w:pPr>
        <w:tabs>
          <w:tab w:val="num" w:pos="1262"/>
        </w:tabs>
        <w:ind w:left="902" w:firstLine="0"/>
      </w:pPr>
      <w:rPr>
        <w:rFonts w:hint="default"/>
      </w:rPr>
    </w:lvl>
    <w:lvl w:ilvl="1" w:tplc="0C0A0019" w:tentative="1">
      <w:start w:val="1"/>
      <w:numFmt w:val="lowerLetter"/>
      <w:lvlText w:val="%2."/>
      <w:lvlJc w:val="left"/>
      <w:pPr>
        <w:tabs>
          <w:tab w:val="num" w:pos="2342"/>
        </w:tabs>
        <w:ind w:left="2342" w:hanging="360"/>
      </w:pPr>
    </w:lvl>
    <w:lvl w:ilvl="2" w:tplc="0C0A001B" w:tentative="1">
      <w:start w:val="1"/>
      <w:numFmt w:val="lowerRoman"/>
      <w:lvlText w:val="%3."/>
      <w:lvlJc w:val="right"/>
      <w:pPr>
        <w:tabs>
          <w:tab w:val="num" w:pos="3062"/>
        </w:tabs>
        <w:ind w:left="3062" w:hanging="180"/>
      </w:pPr>
    </w:lvl>
    <w:lvl w:ilvl="3" w:tplc="0C0A000F" w:tentative="1">
      <w:start w:val="1"/>
      <w:numFmt w:val="decimal"/>
      <w:lvlText w:val="%4."/>
      <w:lvlJc w:val="left"/>
      <w:pPr>
        <w:tabs>
          <w:tab w:val="num" w:pos="3782"/>
        </w:tabs>
        <w:ind w:left="3782" w:hanging="360"/>
      </w:pPr>
    </w:lvl>
    <w:lvl w:ilvl="4" w:tplc="0C0A0019" w:tentative="1">
      <w:start w:val="1"/>
      <w:numFmt w:val="lowerLetter"/>
      <w:lvlText w:val="%5."/>
      <w:lvlJc w:val="left"/>
      <w:pPr>
        <w:tabs>
          <w:tab w:val="num" w:pos="4502"/>
        </w:tabs>
        <w:ind w:left="4502" w:hanging="360"/>
      </w:pPr>
    </w:lvl>
    <w:lvl w:ilvl="5" w:tplc="0C0A001B" w:tentative="1">
      <w:start w:val="1"/>
      <w:numFmt w:val="lowerRoman"/>
      <w:lvlText w:val="%6."/>
      <w:lvlJc w:val="right"/>
      <w:pPr>
        <w:tabs>
          <w:tab w:val="num" w:pos="5222"/>
        </w:tabs>
        <w:ind w:left="5222" w:hanging="180"/>
      </w:pPr>
    </w:lvl>
    <w:lvl w:ilvl="6" w:tplc="0C0A000F" w:tentative="1">
      <w:start w:val="1"/>
      <w:numFmt w:val="decimal"/>
      <w:lvlText w:val="%7."/>
      <w:lvlJc w:val="left"/>
      <w:pPr>
        <w:tabs>
          <w:tab w:val="num" w:pos="5942"/>
        </w:tabs>
        <w:ind w:left="5942" w:hanging="360"/>
      </w:pPr>
    </w:lvl>
    <w:lvl w:ilvl="7" w:tplc="0C0A0019" w:tentative="1">
      <w:start w:val="1"/>
      <w:numFmt w:val="lowerLetter"/>
      <w:lvlText w:val="%8."/>
      <w:lvlJc w:val="left"/>
      <w:pPr>
        <w:tabs>
          <w:tab w:val="num" w:pos="6662"/>
        </w:tabs>
        <w:ind w:left="6662" w:hanging="360"/>
      </w:pPr>
    </w:lvl>
    <w:lvl w:ilvl="8" w:tplc="0C0A001B" w:tentative="1">
      <w:start w:val="1"/>
      <w:numFmt w:val="lowerRoman"/>
      <w:lvlText w:val="%9."/>
      <w:lvlJc w:val="right"/>
      <w:pPr>
        <w:tabs>
          <w:tab w:val="num" w:pos="7382"/>
        </w:tabs>
        <w:ind w:left="7382" w:hanging="180"/>
      </w:pPr>
    </w:lvl>
  </w:abstractNum>
  <w:abstractNum w:abstractNumId="29">
    <w:nsid w:val="6F304375"/>
    <w:multiLevelType w:val="hybridMultilevel"/>
    <w:tmpl w:val="38B24E30"/>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30">
    <w:nsid w:val="70FF32D7"/>
    <w:multiLevelType w:val="hybridMultilevel"/>
    <w:tmpl w:val="5C62B7FA"/>
    <w:lvl w:ilvl="0" w:tplc="0C0A0003">
      <w:start w:val="1"/>
      <w:numFmt w:val="bullet"/>
      <w:lvlText w:val="o"/>
      <w:lvlJc w:val="left"/>
      <w:pPr>
        <w:tabs>
          <w:tab w:val="num" w:pos="1622"/>
        </w:tabs>
        <w:ind w:left="1622" w:hanging="360"/>
      </w:pPr>
      <w:rPr>
        <w:rFonts w:ascii="Courier New" w:hAnsi="Courier New"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31">
    <w:nsid w:val="71DA0277"/>
    <w:multiLevelType w:val="hybridMultilevel"/>
    <w:tmpl w:val="9C40DCA4"/>
    <w:lvl w:ilvl="0" w:tplc="9DB4ABBC">
      <w:start w:val="1"/>
      <w:numFmt w:val="bullet"/>
      <w:lvlText w:val=""/>
      <w:lvlJc w:val="left"/>
      <w:pPr>
        <w:tabs>
          <w:tab w:val="num" w:pos="1262"/>
        </w:tabs>
        <w:ind w:left="902" w:firstLine="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49B2C50"/>
    <w:multiLevelType w:val="hybridMultilevel"/>
    <w:tmpl w:val="249AB276"/>
    <w:lvl w:ilvl="0" w:tplc="A00692EC">
      <w:start w:val="1"/>
      <w:numFmt w:val="bullet"/>
      <w:lvlText w:val=""/>
      <w:lvlJc w:val="left"/>
      <w:pPr>
        <w:tabs>
          <w:tab w:val="num" w:pos="1262"/>
        </w:tabs>
        <w:ind w:left="902" w:firstLine="0"/>
      </w:pPr>
      <w:rPr>
        <w:rFonts w:ascii="Wingdings" w:hAnsi="Wingdings" w:hint="default"/>
      </w:rPr>
    </w:lvl>
    <w:lvl w:ilvl="1" w:tplc="0C0A0003" w:tentative="1">
      <w:start w:val="1"/>
      <w:numFmt w:val="bullet"/>
      <w:lvlText w:val="o"/>
      <w:lvlJc w:val="left"/>
      <w:pPr>
        <w:tabs>
          <w:tab w:val="num" w:pos="2342"/>
        </w:tabs>
        <w:ind w:left="2342" w:hanging="360"/>
      </w:pPr>
      <w:rPr>
        <w:rFonts w:ascii="Courier New" w:hAnsi="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33">
    <w:nsid w:val="792979A0"/>
    <w:multiLevelType w:val="hybridMultilevel"/>
    <w:tmpl w:val="6A8014A6"/>
    <w:lvl w:ilvl="0" w:tplc="0C0A000F">
      <w:start w:val="1"/>
      <w:numFmt w:val="decimal"/>
      <w:lvlText w:val="%1."/>
      <w:lvlJc w:val="left"/>
      <w:pPr>
        <w:tabs>
          <w:tab w:val="num" w:pos="1797"/>
        </w:tabs>
        <w:ind w:left="1797" w:hanging="360"/>
      </w:pPr>
    </w:lvl>
    <w:lvl w:ilvl="1" w:tplc="0C0A0019" w:tentative="1">
      <w:start w:val="1"/>
      <w:numFmt w:val="lowerLetter"/>
      <w:lvlText w:val="%2."/>
      <w:lvlJc w:val="left"/>
      <w:pPr>
        <w:tabs>
          <w:tab w:val="num" w:pos="2517"/>
        </w:tabs>
        <w:ind w:left="2517" w:hanging="360"/>
      </w:pPr>
    </w:lvl>
    <w:lvl w:ilvl="2" w:tplc="0C0A001B" w:tentative="1">
      <w:start w:val="1"/>
      <w:numFmt w:val="lowerRoman"/>
      <w:lvlText w:val="%3."/>
      <w:lvlJc w:val="right"/>
      <w:pPr>
        <w:tabs>
          <w:tab w:val="num" w:pos="3237"/>
        </w:tabs>
        <w:ind w:left="3237" w:hanging="180"/>
      </w:pPr>
    </w:lvl>
    <w:lvl w:ilvl="3" w:tplc="0C0A000F" w:tentative="1">
      <w:start w:val="1"/>
      <w:numFmt w:val="decimal"/>
      <w:lvlText w:val="%4."/>
      <w:lvlJc w:val="left"/>
      <w:pPr>
        <w:tabs>
          <w:tab w:val="num" w:pos="3957"/>
        </w:tabs>
        <w:ind w:left="3957" w:hanging="360"/>
      </w:pPr>
    </w:lvl>
    <w:lvl w:ilvl="4" w:tplc="0C0A0019" w:tentative="1">
      <w:start w:val="1"/>
      <w:numFmt w:val="lowerLetter"/>
      <w:lvlText w:val="%5."/>
      <w:lvlJc w:val="left"/>
      <w:pPr>
        <w:tabs>
          <w:tab w:val="num" w:pos="4677"/>
        </w:tabs>
        <w:ind w:left="4677" w:hanging="360"/>
      </w:pPr>
    </w:lvl>
    <w:lvl w:ilvl="5" w:tplc="0C0A001B" w:tentative="1">
      <w:start w:val="1"/>
      <w:numFmt w:val="lowerRoman"/>
      <w:lvlText w:val="%6."/>
      <w:lvlJc w:val="right"/>
      <w:pPr>
        <w:tabs>
          <w:tab w:val="num" w:pos="5397"/>
        </w:tabs>
        <w:ind w:left="5397" w:hanging="180"/>
      </w:pPr>
    </w:lvl>
    <w:lvl w:ilvl="6" w:tplc="0C0A000F" w:tentative="1">
      <w:start w:val="1"/>
      <w:numFmt w:val="decimal"/>
      <w:lvlText w:val="%7."/>
      <w:lvlJc w:val="left"/>
      <w:pPr>
        <w:tabs>
          <w:tab w:val="num" w:pos="6117"/>
        </w:tabs>
        <w:ind w:left="6117" w:hanging="360"/>
      </w:pPr>
    </w:lvl>
    <w:lvl w:ilvl="7" w:tplc="0C0A0019" w:tentative="1">
      <w:start w:val="1"/>
      <w:numFmt w:val="lowerLetter"/>
      <w:lvlText w:val="%8."/>
      <w:lvlJc w:val="left"/>
      <w:pPr>
        <w:tabs>
          <w:tab w:val="num" w:pos="6837"/>
        </w:tabs>
        <w:ind w:left="6837" w:hanging="360"/>
      </w:pPr>
    </w:lvl>
    <w:lvl w:ilvl="8" w:tplc="0C0A001B" w:tentative="1">
      <w:start w:val="1"/>
      <w:numFmt w:val="lowerRoman"/>
      <w:lvlText w:val="%9."/>
      <w:lvlJc w:val="right"/>
      <w:pPr>
        <w:tabs>
          <w:tab w:val="num" w:pos="7557"/>
        </w:tabs>
        <w:ind w:left="7557" w:hanging="180"/>
      </w:pPr>
    </w:lvl>
  </w:abstractNum>
  <w:abstractNum w:abstractNumId="34">
    <w:nsid w:val="7F412522"/>
    <w:multiLevelType w:val="multilevel"/>
    <w:tmpl w:val="A5A41948"/>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1096"/>
        </w:tabs>
        <w:ind w:left="1096" w:hanging="645"/>
      </w:pPr>
      <w:rPr>
        <w:rFonts w:hint="default"/>
      </w:rPr>
    </w:lvl>
    <w:lvl w:ilvl="2">
      <w:start w:val="2"/>
      <w:numFmt w:val="decimal"/>
      <w:lvlText w:val="%1.%2.%3"/>
      <w:lvlJc w:val="left"/>
      <w:pPr>
        <w:tabs>
          <w:tab w:val="num" w:pos="1622"/>
        </w:tabs>
        <w:ind w:left="1622" w:hanging="720"/>
      </w:pPr>
      <w:rPr>
        <w:rFonts w:hint="default"/>
      </w:rPr>
    </w:lvl>
    <w:lvl w:ilvl="3">
      <w:start w:val="1"/>
      <w:numFmt w:val="decimal"/>
      <w:lvlText w:val="%1.%2.%3.%4"/>
      <w:lvlJc w:val="left"/>
      <w:pPr>
        <w:tabs>
          <w:tab w:val="num" w:pos="2433"/>
        </w:tabs>
        <w:ind w:left="2433" w:hanging="1080"/>
      </w:pPr>
      <w:rPr>
        <w:rFonts w:hint="default"/>
      </w:rPr>
    </w:lvl>
    <w:lvl w:ilvl="4">
      <w:start w:val="1"/>
      <w:numFmt w:val="decimal"/>
      <w:lvlText w:val="%1.%2.%3.%4.%5"/>
      <w:lvlJc w:val="left"/>
      <w:pPr>
        <w:tabs>
          <w:tab w:val="num" w:pos="2884"/>
        </w:tabs>
        <w:ind w:left="2884" w:hanging="1080"/>
      </w:pPr>
      <w:rPr>
        <w:rFonts w:hint="default"/>
      </w:rPr>
    </w:lvl>
    <w:lvl w:ilvl="5">
      <w:start w:val="1"/>
      <w:numFmt w:val="decimal"/>
      <w:lvlText w:val="%1.%2.%3.%4.%5.%6"/>
      <w:lvlJc w:val="left"/>
      <w:pPr>
        <w:tabs>
          <w:tab w:val="num" w:pos="3695"/>
        </w:tabs>
        <w:ind w:left="3695" w:hanging="1440"/>
      </w:pPr>
      <w:rPr>
        <w:rFonts w:hint="default"/>
      </w:rPr>
    </w:lvl>
    <w:lvl w:ilvl="6">
      <w:start w:val="1"/>
      <w:numFmt w:val="decimal"/>
      <w:lvlText w:val="%1.%2.%3.%4.%5.%6.%7"/>
      <w:lvlJc w:val="left"/>
      <w:pPr>
        <w:tabs>
          <w:tab w:val="num" w:pos="4146"/>
        </w:tabs>
        <w:ind w:left="4146" w:hanging="1440"/>
      </w:pPr>
      <w:rPr>
        <w:rFonts w:hint="default"/>
      </w:rPr>
    </w:lvl>
    <w:lvl w:ilvl="7">
      <w:start w:val="1"/>
      <w:numFmt w:val="decimal"/>
      <w:lvlText w:val="%1.%2.%3.%4.%5.%6.%7.%8"/>
      <w:lvlJc w:val="left"/>
      <w:pPr>
        <w:tabs>
          <w:tab w:val="num" w:pos="4957"/>
        </w:tabs>
        <w:ind w:left="4957" w:hanging="1800"/>
      </w:pPr>
      <w:rPr>
        <w:rFonts w:hint="default"/>
      </w:rPr>
    </w:lvl>
    <w:lvl w:ilvl="8">
      <w:start w:val="1"/>
      <w:numFmt w:val="decimal"/>
      <w:lvlText w:val="%1.%2.%3.%4.%5.%6.%7.%8.%9"/>
      <w:lvlJc w:val="left"/>
      <w:pPr>
        <w:tabs>
          <w:tab w:val="num" w:pos="5408"/>
        </w:tabs>
        <w:ind w:left="5408" w:hanging="1800"/>
      </w:pPr>
      <w:rPr>
        <w:rFonts w:hint="default"/>
      </w:rPr>
    </w:lvl>
  </w:abstractNum>
  <w:abstractNum w:abstractNumId="35">
    <w:nsid w:val="7FBD4A4F"/>
    <w:multiLevelType w:val="hybridMultilevel"/>
    <w:tmpl w:val="101C81D6"/>
    <w:lvl w:ilvl="0" w:tplc="9DB4ABBC">
      <w:start w:val="1"/>
      <w:numFmt w:val="bullet"/>
      <w:lvlText w:val=""/>
      <w:lvlJc w:val="left"/>
      <w:pPr>
        <w:tabs>
          <w:tab w:val="num" w:pos="1262"/>
        </w:tabs>
        <w:ind w:left="902"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33"/>
  </w:num>
  <w:num w:numId="4">
    <w:abstractNumId w:val="19"/>
  </w:num>
  <w:num w:numId="5">
    <w:abstractNumId w:val="2"/>
  </w:num>
  <w:num w:numId="6">
    <w:abstractNumId w:val="24"/>
  </w:num>
  <w:num w:numId="7">
    <w:abstractNumId w:val="34"/>
  </w:num>
  <w:num w:numId="8">
    <w:abstractNumId w:val="6"/>
  </w:num>
  <w:num w:numId="9">
    <w:abstractNumId w:val="27"/>
  </w:num>
  <w:num w:numId="10">
    <w:abstractNumId w:val="28"/>
  </w:num>
  <w:num w:numId="11">
    <w:abstractNumId w:val="7"/>
  </w:num>
  <w:num w:numId="12">
    <w:abstractNumId w:val="22"/>
  </w:num>
  <w:num w:numId="13">
    <w:abstractNumId w:val="21"/>
  </w:num>
  <w:num w:numId="14">
    <w:abstractNumId w:val="20"/>
  </w:num>
  <w:num w:numId="15">
    <w:abstractNumId w:val="0"/>
  </w:num>
  <w:num w:numId="16">
    <w:abstractNumId w:val="31"/>
  </w:num>
  <w:num w:numId="17">
    <w:abstractNumId w:val="26"/>
  </w:num>
  <w:num w:numId="18">
    <w:abstractNumId w:val="32"/>
  </w:num>
  <w:num w:numId="19">
    <w:abstractNumId w:val="12"/>
  </w:num>
  <w:num w:numId="20">
    <w:abstractNumId w:val="29"/>
  </w:num>
  <w:num w:numId="21">
    <w:abstractNumId w:val="5"/>
  </w:num>
  <w:num w:numId="22">
    <w:abstractNumId w:val="16"/>
  </w:num>
  <w:num w:numId="23">
    <w:abstractNumId w:val="30"/>
  </w:num>
  <w:num w:numId="24">
    <w:abstractNumId w:val="18"/>
  </w:num>
  <w:num w:numId="25">
    <w:abstractNumId w:val="4"/>
  </w:num>
  <w:num w:numId="26">
    <w:abstractNumId w:val="25"/>
  </w:num>
  <w:num w:numId="27">
    <w:abstractNumId w:val="1"/>
  </w:num>
  <w:num w:numId="28">
    <w:abstractNumId w:val="14"/>
  </w:num>
  <w:num w:numId="29">
    <w:abstractNumId w:val="3"/>
  </w:num>
  <w:num w:numId="30">
    <w:abstractNumId w:val="23"/>
  </w:num>
  <w:num w:numId="31">
    <w:abstractNumId w:val="11"/>
  </w:num>
  <w:num w:numId="32">
    <w:abstractNumId w:val="35"/>
  </w:num>
  <w:num w:numId="33">
    <w:abstractNumId w:val="15"/>
  </w:num>
  <w:num w:numId="34">
    <w:abstractNumId w:val="17"/>
  </w:num>
  <w:num w:numId="35">
    <w:abstractNumId w:val="13"/>
  </w:num>
  <w:num w:numId="36">
    <w:abstractNumId w:val="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266E4B"/>
    <w:rsid w:val="000E1CA1"/>
    <w:rsid w:val="00266E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i/>
      <w:iCs/>
    </w:rPr>
  </w:style>
  <w:style w:type="paragraph" w:styleId="Ttulo2">
    <w:name w:val="heading 2"/>
    <w:basedOn w:val="Normal"/>
    <w:next w:val="Normal"/>
    <w:qFormat/>
    <w:pPr>
      <w:keepNext/>
      <w:jc w:val="both"/>
      <w:outlineLvl w:val="1"/>
    </w:pPr>
    <w:rPr>
      <w:b/>
      <w:bCs/>
    </w:rPr>
  </w:style>
  <w:style w:type="paragraph" w:styleId="Ttulo3">
    <w:name w:val="heading 3"/>
    <w:basedOn w:val="Normal"/>
    <w:next w:val="Normal"/>
    <w:qFormat/>
    <w:pPr>
      <w:keepNext/>
      <w:ind w:firstLine="360"/>
      <w:jc w:val="both"/>
      <w:outlineLvl w:val="2"/>
    </w:pPr>
    <w:rPr>
      <w:b/>
      <w:bCs/>
    </w:rPr>
  </w:style>
  <w:style w:type="paragraph" w:styleId="Ttulo4">
    <w:name w:val="heading 4"/>
    <w:basedOn w:val="Normal"/>
    <w:next w:val="Normal"/>
    <w:qFormat/>
    <w:pPr>
      <w:keepNext/>
      <w:ind w:firstLine="708"/>
      <w:jc w:val="both"/>
      <w:outlineLvl w:val="3"/>
    </w:pPr>
    <w:rPr>
      <w:b/>
      <w:bCs/>
    </w:rPr>
  </w:style>
  <w:style w:type="paragraph" w:styleId="Ttulo5">
    <w:name w:val="heading 5"/>
    <w:basedOn w:val="Normal"/>
    <w:next w:val="Normal"/>
    <w:qFormat/>
    <w:pPr>
      <w:keepNext/>
      <w:outlineLvl w:val="4"/>
    </w:pPr>
    <w:rPr>
      <w:rFonts w:ascii="Geneva" w:hAnsi="Geneva"/>
      <w:b/>
      <w:color w:val="333333"/>
      <w:sz w:val="20"/>
      <w:szCs w:val="20"/>
    </w:rPr>
  </w:style>
  <w:style w:type="paragraph" w:styleId="Ttulo6">
    <w:name w:val="heading 6"/>
    <w:basedOn w:val="Normal"/>
    <w:next w:val="Normal"/>
    <w:qFormat/>
    <w:pPr>
      <w:keepNext/>
      <w:jc w:val="center"/>
      <w:outlineLvl w:val="5"/>
    </w:pPr>
    <w:rPr>
      <w:b/>
      <w:bCs/>
      <w:sz w:val="48"/>
    </w:rPr>
  </w:style>
  <w:style w:type="paragraph" w:styleId="Ttulo7">
    <w:name w:val="heading 7"/>
    <w:basedOn w:val="Normal"/>
    <w:next w:val="Normal"/>
    <w:qFormat/>
    <w:pPr>
      <w:keepNext/>
      <w:jc w:val="both"/>
      <w:outlineLvl w:val="6"/>
    </w:pPr>
    <w:rPr>
      <w:rFonts w:ascii="Arial" w:hAnsi="Arial" w:cs="Arial"/>
      <w:b/>
      <w:bCs/>
      <w:sz w:val="48"/>
    </w:rPr>
  </w:style>
  <w:style w:type="paragraph" w:styleId="Ttulo8">
    <w:name w:val="heading 8"/>
    <w:basedOn w:val="Normal"/>
    <w:next w:val="Normal"/>
    <w:qFormat/>
    <w:pPr>
      <w:keepNext/>
      <w:ind w:left="902"/>
      <w:jc w:val="both"/>
      <w:outlineLvl w:val="7"/>
    </w:pPr>
    <w:rPr>
      <w:rFonts w:ascii="Arial" w:hAnsi="Arial" w:cs="Arial"/>
      <w:i/>
      <w:iCs/>
    </w:rPr>
  </w:style>
  <w:style w:type="paragraph" w:styleId="Ttulo9">
    <w:name w:val="heading 9"/>
    <w:basedOn w:val="Normal"/>
    <w:next w:val="Normal"/>
    <w:qFormat/>
    <w:pPr>
      <w:keepNext/>
      <w:ind w:left="902"/>
      <w:jc w:val="both"/>
      <w:outlineLvl w:val="8"/>
    </w:pPr>
    <w:rPr>
      <w:rFonts w:ascii="Arial" w:hAnsi="Arial" w:cs="Arial"/>
      <w:b/>
      <w:bCs/>
      <w:i/>
      <w:i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360"/>
      <w:jc w:val="both"/>
    </w:pPr>
    <w:rPr>
      <w:rFonts w:ascii="Arial" w:hAnsi="Arial" w:cs="Arial"/>
    </w:rPr>
  </w:style>
  <w:style w:type="paragraph" w:styleId="Textoindependiente">
    <w:name w:val="Body Text"/>
    <w:basedOn w:val="Normal"/>
    <w:semiHidden/>
    <w:pPr>
      <w:jc w:val="both"/>
    </w:p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style>
  <w:style w:type="paragraph" w:styleId="Sangra2detindependiente">
    <w:name w:val="Body Text Indent 2"/>
    <w:basedOn w:val="Normal"/>
    <w:semiHidden/>
    <w:pPr>
      <w:spacing w:line="480" w:lineRule="auto"/>
      <w:ind w:left="902"/>
      <w:jc w:val="both"/>
    </w:pPr>
    <w:rPr>
      <w:rFonts w:ascii="Arial" w:hAnsi="Arial" w:cs="Arial"/>
    </w:rPr>
  </w:style>
  <w:style w:type="paragraph" w:styleId="Textoindependiente2">
    <w:name w:val="Body Text 2"/>
    <w:basedOn w:val="Normal"/>
    <w:semiHidden/>
    <w:pPr>
      <w:jc w:val="both"/>
    </w:pPr>
    <w:rPr>
      <w:rFonts w:ascii="Arial" w:hAnsi="Arial" w:cs="Arial"/>
      <w:b/>
      <w:bCs/>
      <w:sz w:val="32"/>
    </w:rPr>
  </w:style>
  <w:style w:type="paragraph" w:styleId="Sangra3detindependiente">
    <w:name w:val="Body Text Indent 3"/>
    <w:basedOn w:val="Normal"/>
    <w:semiHidden/>
    <w:pPr>
      <w:spacing w:line="480" w:lineRule="auto"/>
      <w:ind w:left="1276"/>
    </w:pPr>
    <w:rPr>
      <w:rFonts w:ascii="Arial" w:hAnsi="Arial"/>
      <w:szCs w:val="20"/>
      <w:lang w:val="es-ES_tradnl"/>
    </w:rPr>
  </w:style>
  <w:style w:type="paragraph" w:styleId="Subttulo">
    <w:name w:val="Subtitle"/>
    <w:basedOn w:val="Normal"/>
    <w:qFormat/>
    <w:pPr>
      <w:jc w:val="both"/>
    </w:pPr>
    <w:rPr>
      <w:rFonts w:ascii="Arial" w:hAnsi="Arial"/>
      <w:b/>
      <w:color w:val="000080"/>
      <w:sz w:val="20"/>
      <w:szCs w:val="20"/>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3.bin"/><Relationship Id="rId42" Type="http://schemas.openxmlformats.org/officeDocument/2006/relationships/image" Target="media/image14.wmf"/><Relationship Id="rId63" Type="http://schemas.openxmlformats.org/officeDocument/2006/relationships/image" Target="media/image24.wmf"/><Relationship Id="rId84" Type="http://schemas.openxmlformats.org/officeDocument/2006/relationships/oleObject" Target="embeddings/oleObject36.bin"/><Relationship Id="rId138" Type="http://schemas.openxmlformats.org/officeDocument/2006/relationships/oleObject" Target="embeddings/oleObject70.bin"/><Relationship Id="rId159" Type="http://schemas.openxmlformats.org/officeDocument/2006/relationships/chart" Target="charts/chart25.xml"/><Relationship Id="rId170" Type="http://schemas.openxmlformats.org/officeDocument/2006/relationships/chart" Target="charts/chart36.xml"/><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79.wmf"/><Relationship Id="rId107" Type="http://schemas.openxmlformats.org/officeDocument/2006/relationships/oleObject" Target="embeddings/oleObject49.bin"/><Relationship Id="rId11" Type="http://schemas.openxmlformats.org/officeDocument/2006/relationships/chart" Target="charts/chart4.xml"/><Relationship Id="rId32" Type="http://schemas.openxmlformats.org/officeDocument/2006/relationships/image" Target="media/image9.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oleObject" Target="embeddings/oleObject62.bin"/><Relationship Id="rId149" Type="http://schemas.openxmlformats.org/officeDocument/2006/relationships/chart" Target="charts/chart15.xml"/><Relationship Id="rId5" Type="http://schemas.openxmlformats.org/officeDocument/2006/relationships/footnotes" Target="footnotes.xml"/><Relationship Id="rId95" Type="http://schemas.openxmlformats.org/officeDocument/2006/relationships/image" Target="media/image39.wmf"/><Relationship Id="rId160" Type="http://schemas.openxmlformats.org/officeDocument/2006/relationships/chart" Target="charts/chart26.xml"/><Relationship Id="rId181" Type="http://schemas.openxmlformats.org/officeDocument/2006/relationships/image" Target="media/image58.wmf"/><Relationship Id="rId216" Type="http://schemas.openxmlformats.org/officeDocument/2006/relationships/oleObject" Target="embeddings/oleObject96.bin"/><Relationship Id="rId237" Type="http://schemas.openxmlformats.org/officeDocument/2006/relationships/oleObject" Target="embeddings/oleObject108.bin"/><Relationship Id="rId22" Type="http://schemas.openxmlformats.org/officeDocument/2006/relationships/oleObject" Target="embeddings/oleObject4.bin"/><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49.wmf"/><Relationship Id="rId139" Type="http://schemas.openxmlformats.org/officeDocument/2006/relationships/oleObject" Target="embeddings/oleObject71.bin"/><Relationship Id="rId85" Type="http://schemas.openxmlformats.org/officeDocument/2006/relationships/image" Target="media/image35.wmf"/><Relationship Id="rId150" Type="http://schemas.openxmlformats.org/officeDocument/2006/relationships/chart" Target="charts/chart16.xml"/><Relationship Id="rId171" Type="http://schemas.openxmlformats.org/officeDocument/2006/relationships/chart" Target="charts/chart37.xml"/><Relationship Id="rId192" Type="http://schemas.openxmlformats.org/officeDocument/2006/relationships/image" Target="media/image63.wmf"/><Relationship Id="rId206" Type="http://schemas.openxmlformats.org/officeDocument/2006/relationships/image" Target="media/image70.wmf"/><Relationship Id="rId227" Type="http://schemas.openxmlformats.org/officeDocument/2006/relationships/oleObject" Target="embeddings/oleObject102.bin"/><Relationship Id="rId201" Type="http://schemas.openxmlformats.org/officeDocument/2006/relationships/oleObject" Target="embeddings/oleObject88.bin"/><Relationship Id="rId222" Type="http://schemas.openxmlformats.org/officeDocument/2006/relationships/image" Target="media/image77.wmf"/><Relationship Id="rId243" Type="http://schemas.openxmlformats.org/officeDocument/2006/relationships/oleObject" Target="embeddings/oleObject112.bin"/><Relationship Id="rId12" Type="http://schemas.openxmlformats.org/officeDocument/2006/relationships/chart" Target="charts/chart5.xml"/><Relationship Id="rId17" Type="http://schemas.openxmlformats.org/officeDocument/2006/relationships/oleObject" Target="embeddings/oleObject1.bin"/><Relationship Id="rId33" Type="http://schemas.openxmlformats.org/officeDocument/2006/relationships/oleObject" Target="embeddings/oleObject10.bin"/><Relationship Id="rId38" Type="http://schemas.openxmlformats.org/officeDocument/2006/relationships/image" Target="media/image12.wmf"/><Relationship Id="rId59" Type="http://schemas.openxmlformats.org/officeDocument/2006/relationships/image" Target="media/image22.wmf"/><Relationship Id="rId103" Type="http://schemas.openxmlformats.org/officeDocument/2006/relationships/oleObject" Target="embeddings/oleObject47.bin"/><Relationship Id="rId108" Type="http://schemas.openxmlformats.org/officeDocument/2006/relationships/oleObject" Target="embeddings/oleObject50.bin"/><Relationship Id="rId124" Type="http://schemas.openxmlformats.org/officeDocument/2006/relationships/image" Target="media/image52.wmf"/><Relationship Id="rId129" Type="http://schemas.openxmlformats.org/officeDocument/2006/relationships/oleObject" Target="embeddings/oleObject63.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0.wmf"/><Relationship Id="rId91" Type="http://schemas.openxmlformats.org/officeDocument/2006/relationships/image" Target="media/image37.wmf"/><Relationship Id="rId96" Type="http://schemas.openxmlformats.org/officeDocument/2006/relationships/oleObject" Target="embeddings/oleObject43.bin"/><Relationship Id="rId140" Type="http://schemas.openxmlformats.org/officeDocument/2006/relationships/oleObject" Target="embeddings/oleObject72.bin"/><Relationship Id="rId145" Type="http://schemas.openxmlformats.org/officeDocument/2006/relationships/chart" Target="charts/chart11.xml"/><Relationship Id="rId161" Type="http://schemas.openxmlformats.org/officeDocument/2006/relationships/chart" Target="charts/chart27.xml"/><Relationship Id="rId166" Type="http://schemas.openxmlformats.org/officeDocument/2006/relationships/chart" Target="charts/chart32.xml"/><Relationship Id="rId182" Type="http://schemas.openxmlformats.org/officeDocument/2006/relationships/oleObject" Target="embeddings/oleObject78.bin"/><Relationship Id="rId187" Type="http://schemas.openxmlformats.org/officeDocument/2006/relationships/image" Target="media/image61.wmf"/><Relationship Id="rId217" Type="http://schemas.openxmlformats.org/officeDocument/2006/relationships/image" Target="media/image75.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4.bin"/><Relationship Id="rId233" Type="http://schemas.openxmlformats.org/officeDocument/2006/relationships/image" Target="media/image82.wmf"/><Relationship Id="rId238" Type="http://schemas.openxmlformats.org/officeDocument/2006/relationships/oleObject" Target="embeddings/oleObject109.bin"/><Relationship Id="rId23" Type="http://schemas.openxmlformats.org/officeDocument/2006/relationships/oleObject" Target="embeddings/oleObject5.bin"/><Relationship Id="rId28" Type="http://schemas.openxmlformats.org/officeDocument/2006/relationships/image" Target="media/image7.wmf"/><Relationship Id="rId49" Type="http://schemas.openxmlformats.org/officeDocument/2006/relationships/oleObject" Target="embeddings/oleObject18.bin"/><Relationship Id="rId114" Type="http://schemas.openxmlformats.org/officeDocument/2006/relationships/image" Target="media/image47.wmf"/><Relationship Id="rId119" Type="http://schemas.openxmlformats.org/officeDocument/2006/relationships/oleObject" Target="embeddings/oleObject56.bin"/><Relationship Id="rId44" Type="http://schemas.openxmlformats.org/officeDocument/2006/relationships/image" Target="media/image15.wmf"/><Relationship Id="rId60" Type="http://schemas.openxmlformats.org/officeDocument/2006/relationships/oleObject" Target="embeddings/oleObject24.bin"/><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oleObject" Target="embeddings/oleObject64.bin"/><Relationship Id="rId135" Type="http://schemas.openxmlformats.org/officeDocument/2006/relationships/image" Target="media/image53.wmf"/><Relationship Id="rId151" Type="http://schemas.openxmlformats.org/officeDocument/2006/relationships/chart" Target="charts/chart17.xml"/><Relationship Id="rId156" Type="http://schemas.openxmlformats.org/officeDocument/2006/relationships/chart" Target="charts/chart22.xml"/><Relationship Id="rId177" Type="http://schemas.openxmlformats.org/officeDocument/2006/relationships/image" Target="media/image56.wmf"/><Relationship Id="rId198" Type="http://schemas.openxmlformats.org/officeDocument/2006/relationships/image" Target="media/image66.wmf"/><Relationship Id="rId172" Type="http://schemas.openxmlformats.org/officeDocument/2006/relationships/chart" Target="charts/chart38.xml"/><Relationship Id="rId193" Type="http://schemas.openxmlformats.org/officeDocument/2006/relationships/oleObject" Target="embeddings/oleObject84.bin"/><Relationship Id="rId202" Type="http://schemas.openxmlformats.org/officeDocument/2006/relationships/image" Target="media/image68.wmf"/><Relationship Id="rId207" Type="http://schemas.openxmlformats.org/officeDocument/2006/relationships/oleObject" Target="embeddings/oleObject91.bin"/><Relationship Id="rId223" Type="http://schemas.openxmlformats.org/officeDocument/2006/relationships/oleObject" Target="embeddings/oleObject100.bin"/><Relationship Id="rId228" Type="http://schemas.openxmlformats.org/officeDocument/2006/relationships/image" Target="media/image80.wmf"/><Relationship Id="rId244" Type="http://schemas.openxmlformats.org/officeDocument/2006/relationships/header" Target="header1.xml"/><Relationship Id="rId13" Type="http://schemas.openxmlformats.org/officeDocument/2006/relationships/chart" Target="charts/chart6.xml"/><Relationship Id="rId18" Type="http://schemas.openxmlformats.org/officeDocument/2006/relationships/image" Target="media/image3.wmf"/><Relationship Id="rId39" Type="http://schemas.openxmlformats.org/officeDocument/2006/relationships/oleObject" Target="embeddings/oleObject13.bin"/><Relationship Id="rId109" Type="http://schemas.openxmlformats.org/officeDocument/2006/relationships/oleObject" Target="embeddings/oleObject51.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image" Target="media/image20.wmf"/><Relationship Id="rId76" Type="http://schemas.openxmlformats.org/officeDocument/2006/relationships/oleObject" Target="embeddings/oleObject32.bin"/><Relationship Id="rId97" Type="http://schemas.openxmlformats.org/officeDocument/2006/relationships/image" Target="media/image40.wmf"/><Relationship Id="rId104" Type="http://schemas.openxmlformats.org/officeDocument/2006/relationships/image" Target="media/image43.wmf"/><Relationship Id="rId120" Type="http://schemas.openxmlformats.org/officeDocument/2006/relationships/image" Target="media/image50.wmf"/><Relationship Id="rId125" Type="http://schemas.openxmlformats.org/officeDocument/2006/relationships/oleObject" Target="embeddings/oleObject59.bin"/><Relationship Id="rId141" Type="http://schemas.openxmlformats.org/officeDocument/2006/relationships/oleObject" Target="embeddings/oleObject73.bin"/><Relationship Id="rId146" Type="http://schemas.openxmlformats.org/officeDocument/2006/relationships/chart" Target="charts/chart12.xml"/><Relationship Id="rId167" Type="http://schemas.openxmlformats.org/officeDocument/2006/relationships/chart" Target="charts/chart33.xml"/><Relationship Id="rId188" Type="http://schemas.openxmlformats.org/officeDocument/2006/relationships/oleObject" Target="embeddings/oleObject81.bin"/><Relationship Id="rId7" Type="http://schemas.openxmlformats.org/officeDocument/2006/relationships/image" Target="media/image1.png"/><Relationship Id="rId71" Type="http://schemas.openxmlformats.org/officeDocument/2006/relationships/image" Target="media/image28.wmf"/><Relationship Id="rId92" Type="http://schemas.openxmlformats.org/officeDocument/2006/relationships/oleObject" Target="embeddings/oleObject41.bin"/><Relationship Id="rId162" Type="http://schemas.openxmlformats.org/officeDocument/2006/relationships/chart" Target="charts/chart28.xml"/><Relationship Id="rId183" Type="http://schemas.openxmlformats.org/officeDocument/2006/relationships/image" Target="media/image59.wmf"/><Relationship Id="rId213" Type="http://schemas.openxmlformats.org/officeDocument/2006/relationships/image" Target="media/image73.wmf"/><Relationship Id="rId218" Type="http://schemas.openxmlformats.org/officeDocument/2006/relationships/oleObject" Target="embeddings/oleObject97.bin"/><Relationship Id="rId234" Type="http://schemas.openxmlformats.org/officeDocument/2006/relationships/oleObject" Target="embeddings/oleObject106.bin"/><Relationship Id="rId239"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45.wmf"/><Relationship Id="rId115" Type="http://schemas.openxmlformats.org/officeDocument/2006/relationships/oleObject" Target="embeddings/oleObject54.bin"/><Relationship Id="rId131" Type="http://schemas.openxmlformats.org/officeDocument/2006/relationships/oleObject" Target="embeddings/oleObject65.bin"/><Relationship Id="rId136" Type="http://schemas.openxmlformats.org/officeDocument/2006/relationships/oleObject" Target="embeddings/oleObject69.bin"/><Relationship Id="rId157" Type="http://schemas.openxmlformats.org/officeDocument/2006/relationships/chart" Target="charts/chart23.xml"/><Relationship Id="rId178" Type="http://schemas.openxmlformats.org/officeDocument/2006/relationships/oleObject" Target="embeddings/oleObject76.bin"/><Relationship Id="rId61" Type="http://schemas.openxmlformats.org/officeDocument/2006/relationships/image" Target="media/image23.wmf"/><Relationship Id="rId82" Type="http://schemas.openxmlformats.org/officeDocument/2006/relationships/oleObject" Target="embeddings/oleObject35.bin"/><Relationship Id="rId152" Type="http://schemas.openxmlformats.org/officeDocument/2006/relationships/chart" Target="charts/chart18.xml"/><Relationship Id="rId173" Type="http://schemas.openxmlformats.org/officeDocument/2006/relationships/chart" Target="charts/chart39.xml"/><Relationship Id="rId194" Type="http://schemas.openxmlformats.org/officeDocument/2006/relationships/image" Target="media/image64.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oleObject" Target="embeddings/oleObject92.bin"/><Relationship Id="rId229" Type="http://schemas.openxmlformats.org/officeDocument/2006/relationships/oleObject" Target="embeddings/oleObject103.bin"/><Relationship Id="rId19" Type="http://schemas.openxmlformats.org/officeDocument/2006/relationships/oleObject" Target="embeddings/oleObject2.bin"/><Relationship Id="rId224" Type="http://schemas.openxmlformats.org/officeDocument/2006/relationships/image" Target="media/image78.wmf"/><Relationship Id="rId240" Type="http://schemas.openxmlformats.org/officeDocument/2006/relationships/oleObject" Target="embeddings/oleObject110.bin"/><Relationship Id="rId245" Type="http://schemas.openxmlformats.org/officeDocument/2006/relationships/fontTable" Target="fontTable.xml"/><Relationship Id="rId14" Type="http://schemas.openxmlformats.org/officeDocument/2006/relationships/chart" Target="charts/chart7.xml"/><Relationship Id="rId30" Type="http://schemas.openxmlformats.org/officeDocument/2006/relationships/image" Target="media/image8.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1.wmf"/><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oleObject" Target="embeddings/oleObject60.bin"/><Relationship Id="rId147" Type="http://schemas.openxmlformats.org/officeDocument/2006/relationships/chart" Target="charts/chart13.xml"/><Relationship Id="rId168" Type="http://schemas.openxmlformats.org/officeDocument/2006/relationships/chart" Target="charts/chart34.xml"/><Relationship Id="rId8" Type="http://schemas.openxmlformats.org/officeDocument/2006/relationships/chart" Target="charts/chart1.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38.wmf"/><Relationship Id="rId98" Type="http://schemas.openxmlformats.org/officeDocument/2006/relationships/oleObject" Target="embeddings/oleObject44.bin"/><Relationship Id="rId121" Type="http://schemas.openxmlformats.org/officeDocument/2006/relationships/oleObject" Target="embeddings/oleObject57.bin"/><Relationship Id="rId142" Type="http://schemas.openxmlformats.org/officeDocument/2006/relationships/oleObject" Target="embeddings/oleObject74.bin"/><Relationship Id="rId163" Type="http://schemas.openxmlformats.org/officeDocument/2006/relationships/chart" Target="charts/chart29.xml"/><Relationship Id="rId184" Type="http://schemas.openxmlformats.org/officeDocument/2006/relationships/oleObject" Target="embeddings/oleObject79.bin"/><Relationship Id="rId189" Type="http://schemas.openxmlformats.org/officeDocument/2006/relationships/image" Target="media/image62.wmf"/><Relationship Id="rId219" Type="http://schemas.openxmlformats.org/officeDocument/2006/relationships/oleObject" Target="embeddings/oleObject98.bin"/><Relationship Id="rId3" Type="http://schemas.openxmlformats.org/officeDocument/2006/relationships/settings" Target="settings.xml"/><Relationship Id="rId214" Type="http://schemas.openxmlformats.org/officeDocument/2006/relationships/oleObject" Target="embeddings/oleObject95.bin"/><Relationship Id="rId230" Type="http://schemas.openxmlformats.org/officeDocument/2006/relationships/oleObject" Target="embeddings/oleObject104.bin"/><Relationship Id="rId235" Type="http://schemas.openxmlformats.org/officeDocument/2006/relationships/image" Target="media/image83.wmf"/><Relationship Id="rId25" Type="http://schemas.openxmlformats.org/officeDocument/2006/relationships/oleObject" Target="embeddings/oleObject6.bin"/><Relationship Id="rId46" Type="http://schemas.openxmlformats.org/officeDocument/2006/relationships/image" Target="media/image16.wmf"/><Relationship Id="rId67" Type="http://schemas.openxmlformats.org/officeDocument/2006/relationships/image" Target="media/image26.wmf"/><Relationship Id="rId116" Type="http://schemas.openxmlformats.org/officeDocument/2006/relationships/image" Target="media/image48.wmf"/><Relationship Id="rId137" Type="http://schemas.openxmlformats.org/officeDocument/2006/relationships/image" Target="media/image54.wmf"/><Relationship Id="rId158" Type="http://schemas.openxmlformats.org/officeDocument/2006/relationships/chart" Target="charts/chart24.xml"/><Relationship Id="rId20" Type="http://schemas.openxmlformats.org/officeDocument/2006/relationships/image" Target="media/image4.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4.wmf"/><Relationship Id="rId88" Type="http://schemas.openxmlformats.org/officeDocument/2006/relationships/image" Target="media/image36.wmf"/><Relationship Id="rId111" Type="http://schemas.openxmlformats.org/officeDocument/2006/relationships/oleObject" Target="embeddings/oleObject52.bin"/><Relationship Id="rId132" Type="http://schemas.openxmlformats.org/officeDocument/2006/relationships/oleObject" Target="embeddings/oleObject66.bin"/><Relationship Id="rId153" Type="http://schemas.openxmlformats.org/officeDocument/2006/relationships/chart" Target="charts/chart19.xml"/><Relationship Id="rId174" Type="http://schemas.openxmlformats.org/officeDocument/2006/relationships/chart" Target="charts/chart40.xml"/><Relationship Id="rId179" Type="http://schemas.openxmlformats.org/officeDocument/2006/relationships/image" Target="media/image57.wmf"/><Relationship Id="rId195" Type="http://schemas.openxmlformats.org/officeDocument/2006/relationships/oleObject" Target="embeddings/oleObject85.bin"/><Relationship Id="rId209" Type="http://schemas.openxmlformats.org/officeDocument/2006/relationships/image" Target="media/image71.wmf"/><Relationship Id="rId190" Type="http://schemas.openxmlformats.org/officeDocument/2006/relationships/oleObject" Target="embeddings/oleObject82.bin"/><Relationship Id="rId204" Type="http://schemas.openxmlformats.org/officeDocument/2006/relationships/image" Target="media/image69.wmf"/><Relationship Id="rId220" Type="http://schemas.openxmlformats.org/officeDocument/2006/relationships/image" Target="media/image76.wmf"/><Relationship Id="rId225" Type="http://schemas.openxmlformats.org/officeDocument/2006/relationships/oleObject" Target="embeddings/oleObject101.bin"/><Relationship Id="rId241" Type="http://schemas.openxmlformats.org/officeDocument/2006/relationships/oleObject" Target="embeddings/oleObject111.bin"/><Relationship Id="rId246" Type="http://schemas.openxmlformats.org/officeDocument/2006/relationships/theme" Target="theme/theme1.xml"/><Relationship Id="rId15" Type="http://schemas.openxmlformats.org/officeDocument/2006/relationships/chart" Target="charts/chart8.xml"/><Relationship Id="rId36" Type="http://schemas.openxmlformats.org/officeDocument/2006/relationships/image" Target="media/image11.wmf"/><Relationship Id="rId57" Type="http://schemas.openxmlformats.org/officeDocument/2006/relationships/image" Target="media/image21.wmf"/><Relationship Id="rId106" Type="http://schemas.openxmlformats.org/officeDocument/2006/relationships/image" Target="media/image44.wmf"/><Relationship Id="rId127" Type="http://schemas.openxmlformats.org/officeDocument/2006/relationships/oleObject" Target="embeddings/oleObject61.bin"/><Relationship Id="rId10" Type="http://schemas.openxmlformats.org/officeDocument/2006/relationships/chart" Target="charts/chart3.xml"/><Relationship Id="rId31" Type="http://schemas.openxmlformats.org/officeDocument/2006/relationships/oleObject" Target="embeddings/oleObject9.bin"/><Relationship Id="rId52" Type="http://schemas.openxmlformats.org/officeDocument/2006/relationships/image" Target="media/image19.wmf"/><Relationship Id="rId73" Type="http://schemas.openxmlformats.org/officeDocument/2006/relationships/image" Target="media/image29.wmf"/><Relationship Id="rId78" Type="http://schemas.openxmlformats.org/officeDocument/2006/relationships/oleObject" Target="embeddings/oleObject33.bin"/><Relationship Id="rId94" Type="http://schemas.openxmlformats.org/officeDocument/2006/relationships/oleObject" Target="embeddings/oleObject42.bin"/><Relationship Id="rId99" Type="http://schemas.openxmlformats.org/officeDocument/2006/relationships/image" Target="media/image41.wmf"/><Relationship Id="rId101" Type="http://schemas.openxmlformats.org/officeDocument/2006/relationships/oleObject" Target="embeddings/oleObject46.bin"/><Relationship Id="rId122" Type="http://schemas.openxmlformats.org/officeDocument/2006/relationships/image" Target="media/image51.wmf"/><Relationship Id="rId143" Type="http://schemas.openxmlformats.org/officeDocument/2006/relationships/chart" Target="charts/chart9.xml"/><Relationship Id="rId148" Type="http://schemas.openxmlformats.org/officeDocument/2006/relationships/chart" Target="charts/chart14.xml"/><Relationship Id="rId164" Type="http://schemas.openxmlformats.org/officeDocument/2006/relationships/chart" Target="charts/chart30.xml"/><Relationship Id="rId169" Type="http://schemas.openxmlformats.org/officeDocument/2006/relationships/chart" Target="charts/chart35.xml"/><Relationship Id="rId185" Type="http://schemas.openxmlformats.org/officeDocument/2006/relationships/image" Target="media/image60.wmf"/><Relationship Id="rId4" Type="http://schemas.openxmlformats.org/officeDocument/2006/relationships/webSettings" Target="webSettings.xml"/><Relationship Id="rId9" Type="http://schemas.openxmlformats.org/officeDocument/2006/relationships/chart" Target="charts/chart2.xml"/><Relationship Id="rId180" Type="http://schemas.openxmlformats.org/officeDocument/2006/relationships/oleObject" Target="embeddings/oleObject77.bin"/><Relationship Id="rId210" Type="http://schemas.openxmlformats.org/officeDocument/2006/relationships/oleObject" Target="embeddings/oleObject93.bin"/><Relationship Id="rId215" Type="http://schemas.openxmlformats.org/officeDocument/2006/relationships/image" Target="media/image74.wmf"/><Relationship Id="rId236" Type="http://schemas.openxmlformats.org/officeDocument/2006/relationships/oleObject" Target="embeddings/oleObject107.bin"/><Relationship Id="rId26" Type="http://schemas.openxmlformats.org/officeDocument/2006/relationships/image" Target="media/image6.wmf"/><Relationship Id="rId231" Type="http://schemas.openxmlformats.org/officeDocument/2006/relationships/image" Target="media/image81.wm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46.wmf"/><Relationship Id="rId133" Type="http://schemas.openxmlformats.org/officeDocument/2006/relationships/oleObject" Target="embeddings/oleObject67.bin"/><Relationship Id="rId154" Type="http://schemas.openxmlformats.org/officeDocument/2006/relationships/chart" Target="charts/chart20.xml"/><Relationship Id="rId175" Type="http://schemas.openxmlformats.org/officeDocument/2006/relationships/image" Target="media/image55.wmf"/><Relationship Id="rId196" Type="http://schemas.openxmlformats.org/officeDocument/2006/relationships/image" Target="media/image65.wmf"/><Relationship Id="rId200" Type="http://schemas.openxmlformats.org/officeDocument/2006/relationships/image" Target="media/image67.wmf"/><Relationship Id="rId16" Type="http://schemas.openxmlformats.org/officeDocument/2006/relationships/image" Target="media/image2.wmf"/><Relationship Id="rId221" Type="http://schemas.openxmlformats.org/officeDocument/2006/relationships/oleObject" Target="embeddings/oleObject99.bin"/><Relationship Id="rId242" Type="http://schemas.openxmlformats.org/officeDocument/2006/relationships/image" Target="media/image85.w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2.wmf"/><Relationship Id="rId102" Type="http://schemas.openxmlformats.org/officeDocument/2006/relationships/image" Target="media/image42.wmf"/><Relationship Id="rId123" Type="http://schemas.openxmlformats.org/officeDocument/2006/relationships/oleObject" Target="embeddings/oleObject58.bin"/><Relationship Id="rId144" Type="http://schemas.openxmlformats.org/officeDocument/2006/relationships/chart" Target="charts/chart10.xml"/><Relationship Id="rId90" Type="http://schemas.openxmlformats.org/officeDocument/2006/relationships/oleObject" Target="embeddings/oleObject40.bin"/><Relationship Id="rId165" Type="http://schemas.openxmlformats.org/officeDocument/2006/relationships/chart" Target="charts/chart31.xml"/><Relationship Id="rId186" Type="http://schemas.openxmlformats.org/officeDocument/2006/relationships/oleObject" Target="embeddings/oleObject80.bin"/><Relationship Id="rId211" Type="http://schemas.openxmlformats.org/officeDocument/2006/relationships/image" Target="media/image72.wmf"/><Relationship Id="rId232" Type="http://schemas.openxmlformats.org/officeDocument/2006/relationships/oleObject" Target="embeddings/oleObject105.bin"/><Relationship Id="rId27" Type="http://schemas.openxmlformats.org/officeDocument/2006/relationships/oleObject" Target="embeddings/oleObject7.bin"/><Relationship Id="rId48" Type="http://schemas.openxmlformats.org/officeDocument/2006/relationships/image" Target="media/image17.wmf"/><Relationship Id="rId69" Type="http://schemas.openxmlformats.org/officeDocument/2006/relationships/image" Target="media/image27.wmf"/><Relationship Id="rId113" Type="http://schemas.openxmlformats.org/officeDocument/2006/relationships/oleObject" Target="embeddings/oleObject53.bin"/><Relationship Id="rId134" Type="http://schemas.openxmlformats.org/officeDocument/2006/relationships/oleObject" Target="embeddings/oleObject68.bin"/><Relationship Id="rId80" Type="http://schemas.openxmlformats.org/officeDocument/2006/relationships/oleObject" Target="embeddings/oleObject34.bin"/><Relationship Id="rId155" Type="http://schemas.openxmlformats.org/officeDocument/2006/relationships/chart" Target="charts/chart21.xml"/><Relationship Id="rId176" Type="http://schemas.openxmlformats.org/officeDocument/2006/relationships/oleObject" Target="embeddings/oleObject75.bin"/><Relationship Id="rId197" Type="http://schemas.openxmlformats.org/officeDocument/2006/relationships/oleObject" Target="embeddings/oleObject86.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4" b="1" i="0" u="none" strike="noStrike" baseline="0">
                <a:solidFill>
                  <a:srgbClr val="000000"/>
                </a:solidFill>
                <a:latin typeface="Arial"/>
                <a:ea typeface="Arial"/>
                <a:cs typeface="Arial"/>
              </a:defRPr>
            </a:pPr>
            <a:r>
              <a:t>Clasificación por provincia y actividad</a:t>
            </a:r>
          </a:p>
        </c:rich>
      </c:tx>
      <c:layout>
        <c:manualLayout>
          <c:xMode val="edge"/>
          <c:yMode val="edge"/>
          <c:x val="0.17933130699088146"/>
          <c:y val="2.8037383177570107E-2"/>
        </c:manualLayout>
      </c:layout>
      <c:spPr>
        <a:noFill/>
        <a:ln w="25381">
          <a:noFill/>
        </a:ln>
      </c:spPr>
    </c:title>
    <c:plotArea>
      <c:layout>
        <c:manualLayout>
          <c:layoutTarget val="inner"/>
          <c:xMode val="edge"/>
          <c:yMode val="edge"/>
          <c:x val="0.13069908814589673"/>
          <c:y val="0.23987538940809974"/>
          <c:w val="0.55927051671732519"/>
          <c:h val="0.50155763239875384"/>
        </c:manualLayout>
      </c:layout>
      <c:barChart>
        <c:barDir val="col"/>
        <c:grouping val="clustered"/>
        <c:ser>
          <c:idx val="0"/>
          <c:order val="0"/>
          <c:tx>
            <c:strRef>
              <c:f>Hoja1!$A$3</c:f>
              <c:strCache>
                <c:ptCount val="1"/>
                <c:pt idx="0">
                  <c:v>Pichincha</c:v>
                </c:pt>
              </c:strCache>
            </c:strRef>
          </c:tx>
          <c:spPr>
            <a:solidFill>
              <a:srgbClr val="9999FF"/>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Hoja1!$B$3:$J$3</c:f>
              <c:numCache>
                <c:formatCode>General</c:formatCode>
                <c:ptCount val="9"/>
                <c:pt idx="0">
                  <c:v>35</c:v>
                </c:pt>
                <c:pt idx="1">
                  <c:v>28</c:v>
                </c:pt>
                <c:pt idx="2">
                  <c:v>133</c:v>
                </c:pt>
                <c:pt idx="3">
                  <c:v>4</c:v>
                </c:pt>
                <c:pt idx="4">
                  <c:v>31</c:v>
                </c:pt>
                <c:pt idx="5">
                  <c:v>124</c:v>
                </c:pt>
                <c:pt idx="6">
                  <c:v>25</c:v>
                </c:pt>
                <c:pt idx="7">
                  <c:v>56</c:v>
                </c:pt>
                <c:pt idx="8">
                  <c:v>15</c:v>
                </c:pt>
              </c:numCache>
            </c:numRef>
          </c:val>
        </c:ser>
        <c:ser>
          <c:idx val="1"/>
          <c:order val="1"/>
          <c:tx>
            <c:strRef>
              <c:f>Hoja1!$A$4</c:f>
              <c:strCache>
                <c:ptCount val="1"/>
                <c:pt idx="0">
                  <c:v>Azuay</c:v>
                </c:pt>
              </c:strCache>
            </c:strRef>
          </c:tx>
          <c:spPr>
            <a:solidFill>
              <a:srgbClr val="993366"/>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Hoja1!$B$4:$J$4</c:f>
              <c:numCache>
                <c:formatCode>General</c:formatCode>
                <c:ptCount val="9"/>
                <c:pt idx="0">
                  <c:v>1</c:v>
                </c:pt>
                <c:pt idx="2">
                  <c:v>25</c:v>
                </c:pt>
                <c:pt idx="3">
                  <c:v>1</c:v>
                </c:pt>
                <c:pt idx="4">
                  <c:v>3</c:v>
                </c:pt>
                <c:pt idx="5">
                  <c:v>15</c:v>
                </c:pt>
                <c:pt idx="7">
                  <c:v>2</c:v>
                </c:pt>
              </c:numCache>
            </c:numRef>
          </c:val>
        </c:ser>
        <c:ser>
          <c:idx val="2"/>
          <c:order val="2"/>
          <c:tx>
            <c:strRef>
              <c:f>Hoja1!$A$5</c:f>
              <c:strCache>
                <c:ptCount val="1"/>
                <c:pt idx="0">
                  <c:v>Imbabura</c:v>
                </c:pt>
              </c:strCache>
            </c:strRef>
          </c:tx>
          <c:spPr>
            <a:solidFill>
              <a:srgbClr val="FFFFCC"/>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Hoja1!$B$5:$J$5</c:f>
              <c:numCache>
                <c:formatCode>General</c:formatCode>
                <c:ptCount val="9"/>
                <c:pt idx="2">
                  <c:v>5</c:v>
                </c:pt>
                <c:pt idx="3">
                  <c:v>1</c:v>
                </c:pt>
                <c:pt idx="5">
                  <c:v>6</c:v>
                </c:pt>
              </c:numCache>
            </c:numRef>
          </c:val>
        </c:ser>
        <c:ser>
          <c:idx val="3"/>
          <c:order val="3"/>
          <c:tx>
            <c:strRef>
              <c:f>Hoja1!$A$6</c:f>
              <c:strCache>
                <c:ptCount val="1"/>
                <c:pt idx="0">
                  <c:v>Tungurahua</c:v>
                </c:pt>
              </c:strCache>
            </c:strRef>
          </c:tx>
          <c:spPr>
            <a:solidFill>
              <a:srgbClr val="CCFFFF"/>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Hoja1!$B$6:$J$6</c:f>
              <c:numCache>
                <c:formatCode>General</c:formatCode>
                <c:ptCount val="9"/>
                <c:pt idx="2">
                  <c:v>5</c:v>
                </c:pt>
                <c:pt idx="3">
                  <c:v>1</c:v>
                </c:pt>
                <c:pt idx="4">
                  <c:v>5</c:v>
                </c:pt>
              </c:numCache>
            </c:numRef>
          </c:val>
        </c:ser>
        <c:ser>
          <c:idx val="4"/>
          <c:order val="4"/>
          <c:tx>
            <c:strRef>
              <c:f>Hoja1!$A$7</c:f>
              <c:strCache>
                <c:ptCount val="1"/>
                <c:pt idx="0">
                  <c:v>Cotopaxi</c:v>
                </c:pt>
              </c:strCache>
            </c:strRef>
          </c:tx>
          <c:spPr>
            <a:solidFill>
              <a:srgbClr val="660066"/>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Hoja1!$B$7:$J$7</c:f>
              <c:numCache>
                <c:formatCode>General</c:formatCode>
                <c:ptCount val="9"/>
                <c:pt idx="2">
                  <c:v>7</c:v>
                </c:pt>
                <c:pt idx="3">
                  <c:v>1</c:v>
                </c:pt>
              </c:numCache>
            </c:numRef>
          </c:val>
        </c:ser>
        <c:ser>
          <c:idx val="5"/>
          <c:order val="5"/>
          <c:tx>
            <c:strRef>
              <c:f>Hoja1!$A$8</c:f>
              <c:strCache>
                <c:ptCount val="1"/>
                <c:pt idx="0">
                  <c:v>Cañar</c:v>
                </c:pt>
              </c:strCache>
            </c:strRef>
          </c:tx>
          <c:spPr>
            <a:solidFill>
              <a:srgbClr val="FF8080"/>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Hoja1!$B$8:$J$8</c:f>
              <c:numCache>
                <c:formatCode>General</c:formatCode>
                <c:ptCount val="9"/>
                <c:pt idx="0">
                  <c:v>2</c:v>
                </c:pt>
                <c:pt idx="2">
                  <c:v>2</c:v>
                </c:pt>
                <c:pt idx="3">
                  <c:v>1</c:v>
                </c:pt>
              </c:numCache>
            </c:numRef>
          </c:val>
        </c:ser>
        <c:ser>
          <c:idx val="6"/>
          <c:order val="6"/>
          <c:tx>
            <c:strRef>
              <c:f>Hoja1!$A$9</c:f>
              <c:strCache>
                <c:ptCount val="1"/>
                <c:pt idx="0">
                  <c:v>Chimborazo</c:v>
                </c:pt>
              </c:strCache>
            </c:strRef>
          </c:tx>
          <c:spPr>
            <a:solidFill>
              <a:srgbClr val="0066CC"/>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Hoja1!$B$9:$J$9</c:f>
              <c:numCache>
                <c:formatCode>General</c:formatCode>
                <c:ptCount val="9"/>
                <c:pt idx="2">
                  <c:v>2</c:v>
                </c:pt>
                <c:pt idx="3">
                  <c:v>1</c:v>
                </c:pt>
              </c:numCache>
            </c:numRef>
          </c:val>
        </c:ser>
        <c:ser>
          <c:idx val="7"/>
          <c:order val="7"/>
          <c:tx>
            <c:strRef>
              <c:f>Hoja1!$A$10</c:f>
              <c:strCache>
                <c:ptCount val="1"/>
                <c:pt idx="0">
                  <c:v>Loja</c:v>
                </c:pt>
              </c:strCache>
            </c:strRef>
          </c:tx>
          <c:spPr>
            <a:solidFill>
              <a:srgbClr val="CCCCFF"/>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Hoja1!$B$10:$J$10</c:f>
              <c:numCache>
                <c:formatCode>General</c:formatCode>
                <c:ptCount val="9"/>
                <c:pt idx="2">
                  <c:v>1</c:v>
                </c:pt>
                <c:pt idx="3">
                  <c:v>1</c:v>
                </c:pt>
                <c:pt idx="5">
                  <c:v>1</c:v>
                </c:pt>
              </c:numCache>
            </c:numRef>
          </c:val>
        </c:ser>
        <c:ser>
          <c:idx val="8"/>
          <c:order val="8"/>
          <c:tx>
            <c:strRef>
              <c:f>Hoja1!$A$11</c:f>
              <c:strCache>
                <c:ptCount val="1"/>
                <c:pt idx="0">
                  <c:v>Bolívar</c:v>
                </c:pt>
              </c:strCache>
            </c:strRef>
          </c:tx>
          <c:spPr>
            <a:solidFill>
              <a:srgbClr val="000080"/>
            </a:solidFill>
            <a:ln w="12690">
              <a:solidFill>
                <a:srgbClr val="000000"/>
              </a:solidFill>
              <a:prstDash val="solid"/>
            </a:ln>
          </c:spPr>
          <c:cat>
            <c:strRef>
              <c:f>Hoja1!$B$1:$J$2</c:f>
              <c:strCache>
                <c:ptCount val="9"/>
                <c:pt idx="0">
                  <c:v>Agricultura</c:v>
                </c:pt>
                <c:pt idx="1">
                  <c:v>Minas</c:v>
                </c:pt>
                <c:pt idx="2">
                  <c:v>Industrias</c:v>
                </c:pt>
                <c:pt idx="3">
                  <c:v>Electricidad</c:v>
                </c:pt>
                <c:pt idx="4">
                  <c:v>Construcción</c:v>
                </c:pt>
                <c:pt idx="5">
                  <c:v>Comercio</c:v>
                </c:pt>
                <c:pt idx="6">
                  <c:v>Transporte</c:v>
                </c:pt>
                <c:pt idx="7">
                  <c:v>Serv. a Emp. </c:v>
                </c:pt>
                <c:pt idx="8">
                  <c:v>Serv. a pers.</c:v>
                </c:pt>
              </c:strCache>
            </c:strRef>
          </c:cat>
          <c:val>
            <c:numRef>
              <c:f>Hoja1!$B$11:$J$11</c:f>
              <c:numCache>
                <c:formatCode>General</c:formatCode>
                <c:ptCount val="9"/>
                <c:pt idx="3">
                  <c:v>1</c:v>
                </c:pt>
              </c:numCache>
            </c:numRef>
          </c:val>
        </c:ser>
        <c:axId val="329958144"/>
        <c:axId val="329960064"/>
      </c:barChart>
      <c:catAx>
        <c:axId val="329958144"/>
        <c:scaling>
          <c:orientation val="minMax"/>
        </c:scaling>
        <c:axPos val="b"/>
        <c:title>
          <c:tx>
            <c:rich>
              <a:bodyPr/>
              <a:lstStyle/>
              <a:p>
                <a:pPr>
                  <a:defRPr sz="899" b="1" i="0" u="none" strike="noStrike" baseline="0">
                    <a:solidFill>
                      <a:srgbClr val="000000"/>
                    </a:solidFill>
                    <a:latin typeface="Arial"/>
                    <a:ea typeface="Arial"/>
                    <a:cs typeface="Arial"/>
                  </a:defRPr>
                </a:pPr>
                <a:r>
                  <a:t>Actividad</a:t>
                </a:r>
              </a:p>
            </c:rich>
          </c:tx>
          <c:layout>
            <c:manualLayout>
              <c:xMode val="edge"/>
              <c:yMode val="edge"/>
              <c:x val="0.32522796352583605"/>
              <c:y val="0.89719626168224276"/>
            </c:manualLayout>
          </c:layout>
          <c:spPr>
            <a:noFill/>
            <a:ln w="25381">
              <a:noFill/>
            </a:ln>
          </c:spPr>
        </c:title>
        <c:numFmt formatCode="General" sourceLinked="1"/>
        <c:tickLblPos val="nextTo"/>
        <c:spPr>
          <a:ln w="3173">
            <a:solidFill>
              <a:srgbClr val="000000"/>
            </a:solidFill>
            <a:prstDash val="solid"/>
          </a:ln>
        </c:spPr>
        <c:txPr>
          <a:bodyPr rot="2700000" vert="horz"/>
          <a:lstStyle/>
          <a:p>
            <a:pPr>
              <a:defRPr sz="575" b="0" i="0" u="none" strike="noStrike" baseline="0">
                <a:solidFill>
                  <a:srgbClr val="000000"/>
                </a:solidFill>
                <a:latin typeface="Arial"/>
                <a:ea typeface="Arial"/>
                <a:cs typeface="Arial"/>
              </a:defRPr>
            </a:pPr>
            <a:endParaRPr lang="es-ES"/>
          </a:p>
        </c:txPr>
        <c:crossAx val="329960064"/>
        <c:crosses val="autoZero"/>
        <c:auto val="1"/>
        <c:lblAlgn val="ctr"/>
        <c:lblOffset val="100"/>
        <c:tickLblSkip val="1"/>
        <c:tickMarkSkip val="1"/>
      </c:catAx>
      <c:valAx>
        <c:axId val="329960064"/>
        <c:scaling>
          <c:orientation val="minMax"/>
          <c:max val="150"/>
          <c:min val="0"/>
        </c:scaling>
        <c:axPos val="l"/>
        <c:majorGridlines>
          <c:spPr>
            <a:ln w="3173">
              <a:solidFill>
                <a:srgbClr val="000000"/>
              </a:solidFill>
              <a:prstDash val="solid"/>
            </a:ln>
          </c:spPr>
        </c:majorGridlines>
        <c:numFmt formatCode="0" sourceLinked="0"/>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29958144"/>
        <c:crosses val="autoZero"/>
        <c:crossBetween val="between"/>
      </c:valAx>
      <c:spPr>
        <a:solidFill>
          <a:srgbClr val="C0C0C0"/>
        </a:solidFill>
        <a:ln w="12690">
          <a:solidFill>
            <a:srgbClr val="808080"/>
          </a:solidFill>
          <a:prstDash val="solid"/>
        </a:ln>
      </c:spPr>
    </c:plotArea>
    <c:legend>
      <c:legendPos val="r"/>
      <c:layout>
        <c:manualLayout>
          <c:xMode val="edge"/>
          <c:yMode val="edge"/>
          <c:x val="0.70212765957446832"/>
          <c:y val="9.3457943925233711E-2"/>
          <c:w val="0.28875379939209739"/>
          <c:h val="0.77258566978193122"/>
        </c:manualLayout>
      </c:layout>
      <c:spPr>
        <a:solidFill>
          <a:srgbClr val="FFFFFF"/>
        </a:solidFill>
        <a:ln w="25381">
          <a:noFill/>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1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143497757847539"/>
          <c:y val="8.3333333333333343E-2"/>
          <c:w val="0.81614349775784767"/>
          <c:h val="0.77519379844961278"/>
        </c:manualLayout>
      </c:layout>
      <c:bar3DChart>
        <c:barDir val="col"/>
        <c:grouping val="clustered"/>
        <c:ser>
          <c:idx val="0"/>
          <c:order val="0"/>
          <c:tx>
            <c:strRef>
              <c:f>Variables!$L$2:$L$3</c:f>
              <c:strCache>
                <c:ptCount val="1"/>
                <c:pt idx="0">
                  <c:v>Compañías</c:v>
                </c:pt>
              </c:strCache>
            </c:strRef>
          </c:tx>
          <c:spPr>
            <a:solidFill>
              <a:srgbClr val="9999FF"/>
            </a:solidFill>
            <a:ln w="12700">
              <a:solidFill>
                <a:srgbClr val="000000"/>
              </a:solidFill>
              <a:prstDash val="solid"/>
            </a:ln>
          </c:spPr>
          <c:cat>
            <c:numRef>
              <c:f>Variables!$K$4:$K$28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Variables!$L$4:$L$28</c:f>
              <c:numCache>
                <c:formatCode>0.00</c:formatCode>
                <c:ptCount val="25"/>
                <c:pt idx="0">
                  <c:v>2.1275272161741845</c:v>
                </c:pt>
                <c:pt idx="1">
                  <c:v>0.11387369467926405</c:v>
                </c:pt>
                <c:pt idx="2">
                  <c:v>3.9285714285714299E-2</c:v>
                </c:pt>
                <c:pt idx="3">
                  <c:v>0.13659793814432997</c:v>
                </c:pt>
                <c:pt idx="4">
                  <c:v>0.15570672713529868</c:v>
                </c:pt>
                <c:pt idx="5">
                  <c:v>2.4852844996729892E-2</c:v>
                </c:pt>
                <c:pt idx="6">
                  <c:v>0.16751754945756228</c:v>
                </c:pt>
                <c:pt idx="7">
                  <c:v>6.969117245148948E-2</c:v>
                </c:pt>
                <c:pt idx="8">
                  <c:v>-1.7884517118037818E-2</c:v>
                </c:pt>
                <c:pt idx="9">
                  <c:v>9.469302809573367E-2</c:v>
                </c:pt>
                <c:pt idx="10">
                  <c:v>0.1093155893536122</c:v>
                </c:pt>
                <c:pt idx="11">
                  <c:v>5.0342759211653813E-2</c:v>
                </c:pt>
                <c:pt idx="12">
                  <c:v>9.361615337548447E-2</c:v>
                </c:pt>
                <c:pt idx="13">
                  <c:v>1.9022752704214854E-2</c:v>
                </c:pt>
                <c:pt idx="14">
                  <c:v>6.8997071742313357E-2</c:v>
                </c:pt>
                <c:pt idx="15">
                  <c:v>9.2963533641499729E-2</c:v>
                </c:pt>
                <c:pt idx="16">
                  <c:v>5.6234335839598998E-2</c:v>
                </c:pt>
                <c:pt idx="17">
                  <c:v>7.0443422808838821E-2</c:v>
                </c:pt>
                <c:pt idx="18">
                  <c:v>8.1463009143807164E-2</c:v>
                </c:pt>
                <c:pt idx="19">
                  <c:v>2.7030489367153472E-2</c:v>
                </c:pt>
                <c:pt idx="20">
                  <c:v>-3.4925782711737558E-3</c:v>
                </c:pt>
                <c:pt idx="21">
                  <c:v>0.1181624734009263</c:v>
                </c:pt>
                <c:pt idx="22">
                  <c:v>1.0634725176312552E-2</c:v>
                </c:pt>
                <c:pt idx="23">
                  <c:v>5.3278688524590147E-2</c:v>
                </c:pt>
                <c:pt idx="24">
                  <c:v>8.6444421074771252E-2</c:v>
                </c:pt>
              </c:numCache>
            </c:numRef>
          </c:val>
        </c:ser>
        <c:shape val="box"/>
        <c:axId val="332348800"/>
        <c:axId val="332281344"/>
        <c:axId val="0"/>
      </c:bar3DChart>
      <c:catAx>
        <c:axId val="332348800"/>
        <c:scaling>
          <c:orientation val="minMax"/>
        </c:scaling>
        <c:axPos val="b"/>
        <c:title>
          <c:tx>
            <c:rich>
              <a:bodyPr/>
              <a:lstStyle/>
              <a:p>
                <a:pPr>
                  <a:defRPr sz="900" b="1" i="0" u="none" strike="noStrike" baseline="0">
                    <a:solidFill>
                      <a:srgbClr val="000000"/>
                    </a:solidFill>
                    <a:latin typeface="Arial"/>
                    <a:ea typeface="Arial"/>
                    <a:cs typeface="Arial"/>
                  </a:defRPr>
                </a:pPr>
                <a:r>
                  <a:t>Años</a:t>
                </a:r>
              </a:p>
            </c:rich>
          </c:tx>
          <c:layout>
            <c:manualLayout>
              <c:xMode val="edge"/>
              <c:yMode val="edge"/>
              <c:x val="0.53139013452914818"/>
              <c:y val="0.92441860465116277"/>
            </c:manualLayout>
          </c:layout>
          <c:spPr>
            <a:noFill/>
            <a:ln w="25400">
              <a:noFill/>
            </a:ln>
          </c:spPr>
        </c:title>
        <c:numFmt formatCode="General" sourceLinked="1"/>
        <c:tickLblPos val="low"/>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s-ES"/>
          </a:p>
        </c:txPr>
        <c:crossAx val="332281344"/>
        <c:crosses val="autoZero"/>
        <c:auto val="1"/>
        <c:lblAlgn val="ctr"/>
        <c:lblOffset val="100"/>
        <c:tickLblSkip val="2"/>
        <c:tickMarkSkip val="1"/>
      </c:catAx>
      <c:valAx>
        <c:axId val="332281344"/>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Variación</a:t>
                </a:r>
              </a:p>
            </c:rich>
          </c:tx>
          <c:layout>
            <c:manualLayout>
              <c:xMode val="edge"/>
              <c:yMode val="edge"/>
              <c:x val="2.6905829596412564E-2"/>
              <c:y val="0.42054263565891481"/>
            </c:manualLayout>
          </c:layout>
          <c:spPr>
            <a:noFill/>
            <a:ln w="25400">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332348800"/>
        <c:crosses val="autoZero"/>
        <c:crossBetween val="between"/>
      </c:valAx>
      <c:spPr>
        <a:noFill/>
        <a:ln w="25400">
          <a:noFill/>
        </a:ln>
      </c:spPr>
    </c:plotArea>
    <c:legend>
      <c:legendPos val="t"/>
      <c:layout>
        <c:manualLayout>
          <c:xMode val="edge"/>
          <c:yMode val="edge"/>
          <c:x val="0.40134529147982073"/>
          <c:y val="5.8139534883720947E-3"/>
          <c:w val="0.19506726457399112"/>
          <c:h val="4.4573643410852716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610722610722617"/>
          <c:y val="0.11970074812967586"/>
          <c:w val="0.75058275058275059"/>
          <c:h val="0.6982543640897757"/>
        </c:manualLayout>
      </c:layout>
      <c:lineChart>
        <c:grouping val="standard"/>
        <c:ser>
          <c:idx val="0"/>
          <c:order val="0"/>
          <c:tx>
            <c:strRef>
              <c:f>Variables!$D$2</c:f>
              <c:strCache>
                <c:ptCount val="1"/>
                <c:pt idx="0">
                  <c:v>Activos</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Variables!$C$3:$C$28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Variables!$D$3:$D$28</c:f>
              <c:numCache>
                <c:formatCode>0.00</c:formatCode>
                <c:ptCount val="26"/>
                <c:pt idx="0">
                  <c:v>1047.6422903069206</c:v>
                </c:pt>
                <c:pt idx="1">
                  <c:v>1602.9540289859642</c:v>
                </c:pt>
                <c:pt idx="2">
                  <c:v>2055.1859444605857</c:v>
                </c:pt>
                <c:pt idx="3">
                  <c:v>1968.4044307520978</c:v>
                </c:pt>
                <c:pt idx="4">
                  <c:v>2399.4722582239565</c:v>
                </c:pt>
                <c:pt idx="5">
                  <c:v>3026.7277321454148</c:v>
                </c:pt>
                <c:pt idx="6">
                  <c:v>3422.0120040694228</c:v>
                </c:pt>
                <c:pt idx="7">
                  <c:v>3909.315187996162</c:v>
                </c:pt>
                <c:pt idx="8">
                  <c:v>2896.7983621967151</c:v>
                </c:pt>
                <c:pt idx="9">
                  <c:v>1715.3966311572017</c:v>
                </c:pt>
                <c:pt idx="10">
                  <c:v>2083.4517545702383</c:v>
                </c:pt>
                <c:pt idx="11">
                  <c:v>2633.4754074145608</c:v>
                </c:pt>
                <c:pt idx="12">
                  <c:v>2850.0923480388369</c:v>
                </c:pt>
                <c:pt idx="13">
                  <c:v>3090.6031181471121</c:v>
                </c:pt>
                <c:pt idx="14">
                  <c:v>1885.0889945494428</c:v>
                </c:pt>
                <c:pt idx="15">
                  <c:v>1900.4215161589286</c:v>
                </c:pt>
                <c:pt idx="16">
                  <c:v>2201.7854302283454</c:v>
                </c:pt>
                <c:pt idx="17">
                  <c:v>3013.1964190003705</c:v>
                </c:pt>
                <c:pt idx="18">
                  <c:v>3538.6289401253825</c:v>
                </c:pt>
                <c:pt idx="19">
                  <c:v>3907.4295936334015</c:v>
                </c:pt>
                <c:pt idx="20">
                  <c:v>5442.2337928892257</c:v>
                </c:pt>
                <c:pt idx="21">
                  <c:v>6522.520228708815</c:v>
                </c:pt>
                <c:pt idx="22">
                  <c:v>7721.0493035446325</c:v>
                </c:pt>
                <c:pt idx="23">
                  <c:v>8701.47923826244</c:v>
                </c:pt>
                <c:pt idx="24">
                  <c:v>8884.1289677679306</c:v>
                </c:pt>
                <c:pt idx="25">
                  <c:v>10312.793325775248</c:v>
                </c:pt>
              </c:numCache>
            </c:numRef>
          </c:val>
        </c:ser>
        <c:marker val="1"/>
        <c:axId val="332628736"/>
        <c:axId val="332631040"/>
      </c:lineChart>
      <c:catAx>
        <c:axId val="332628736"/>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6410256410256387"/>
              <c:y val="0.91770573566084812"/>
            </c:manualLayout>
          </c:layout>
          <c:spPr>
            <a:noFill/>
            <a:ln w="25380">
              <a:noFill/>
            </a:ln>
          </c:spPr>
        </c:title>
        <c:numFmt formatCode="General" sourceLinked="1"/>
        <c:tickLblPos val="nextTo"/>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2631040"/>
        <c:crosses val="autoZero"/>
        <c:auto val="1"/>
        <c:lblAlgn val="ctr"/>
        <c:lblOffset val="100"/>
        <c:tickLblSkip val="2"/>
        <c:tickMarkSkip val="1"/>
      </c:catAx>
      <c:valAx>
        <c:axId val="332631040"/>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2.5641025641025654E-2"/>
              <c:y val="0.32668329177057381"/>
            </c:manualLayout>
          </c:layout>
          <c:spPr>
            <a:noFill/>
            <a:ln w="25380">
              <a:noFill/>
            </a:ln>
          </c:spPr>
        </c:title>
        <c:numFmt formatCode="0.00"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2628736"/>
        <c:crosses val="autoZero"/>
        <c:crossBetween val="between"/>
      </c:valAx>
      <c:spPr>
        <a:solidFill>
          <a:srgbClr val="C0C0C0"/>
        </a:solidFill>
        <a:ln w="12690">
          <a:solidFill>
            <a:srgbClr val="808080"/>
          </a:solidFill>
          <a:prstDash val="solid"/>
        </a:ln>
      </c:spPr>
    </c:plotArea>
    <c:legend>
      <c:legendPos val="t"/>
      <c:layout>
        <c:manualLayout>
          <c:xMode val="edge"/>
          <c:yMode val="edge"/>
          <c:x val="0.50815850815850838"/>
          <c:y val="7.4812967581047432E-3"/>
          <c:w val="0.18414918414918424"/>
          <c:h val="5.7356608478802994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1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859030837004412"/>
          <c:y val="8.0979284369114821E-2"/>
          <c:w val="0.81938325991189431"/>
          <c:h val="0.7815442561205278"/>
        </c:manualLayout>
      </c:layout>
      <c:bar3DChart>
        <c:barDir val="col"/>
        <c:grouping val="clustered"/>
        <c:ser>
          <c:idx val="0"/>
          <c:order val="0"/>
          <c:tx>
            <c:strRef>
              <c:f>Variables!$N$2:$N$3</c:f>
              <c:strCache>
                <c:ptCount val="1"/>
                <c:pt idx="0">
                  <c:v>Activos</c:v>
                </c:pt>
              </c:strCache>
            </c:strRef>
          </c:tx>
          <c:spPr>
            <a:solidFill>
              <a:srgbClr val="9999FF"/>
            </a:solidFill>
            <a:ln w="12700">
              <a:solidFill>
                <a:srgbClr val="000000"/>
              </a:solidFill>
              <a:prstDash val="solid"/>
            </a:ln>
          </c:spPr>
          <c:cat>
            <c:numRef>
              <c:f>Variables!$M$4:$M$28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Variables!$N$4:$N$28</c:f>
              <c:numCache>
                <c:formatCode>0.00</c:formatCode>
                <c:ptCount val="25"/>
                <c:pt idx="0">
                  <c:v>0.53005853602602881</c:v>
                </c:pt>
                <c:pt idx="1">
                  <c:v>0.28212407049546245</c:v>
                </c:pt>
                <c:pt idx="2">
                  <c:v>-4.2225626319795102E-2</c:v>
                </c:pt>
                <c:pt idx="3">
                  <c:v>0.21899352629843158</c:v>
                </c:pt>
                <c:pt idx="4">
                  <c:v>0.26141393040557176</c:v>
                </c:pt>
                <c:pt idx="5">
                  <c:v>0.13059789545187223</c:v>
                </c:pt>
                <c:pt idx="6">
                  <c:v>0.1424025349260149</c:v>
                </c:pt>
                <c:pt idx="7">
                  <c:v>-0.25900107233830927</c:v>
                </c:pt>
                <c:pt idx="8">
                  <c:v>-0.40783015706472137</c:v>
                </c:pt>
                <c:pt idx="9">
                  <c:v>0.21455977977801313</c:v>
                </c:pt>
                <c:pt idx="10">
                  <c:v>0.26399634723376608</c:v>
                </c:pt>
                <c:pt idx="11">
                  <c:v>8.2255159860005214E-2</c:v>
                </c:pt>
                <c:pt idx="12">
                  <c:v>8.4387009520506193E-2</c:v>
                </c:pt>
                <c:pt idx="13">
                  <c:v>-0.39005788757516141</c:v>
                </c:pt>
                <c:pt idx="14">
                  <c:v>8.133579716298904E-3</c:v>
                </c:pt>
                <c:pt idx="15">
                  <c:v>0.15857740585810878</c:v>
                </c:pt>
                <c:pt idx="16">
                  <c:v>0.36852409759468469</c:v>
                </c:pt>
                <c:pt idx="17">
                  <c:v>0.17437712251739823</c:v>
                </c:pt>
                <c:pt idx="18">
                  <c:v>0.10422134101886071</c:v>
                </c:pt>
                <c:pt idx="19">
                  <c:v>0.39279126148723742</c:v>
                </c:pt>
                <c:pt idx="20">
                  <c:v>0.1985005563765154</c:v>
                </c:pt>
                <c:pt idx="21">
                  <c:v>0.18375245040414054</c:v>
                </c:pt>
                <c:pt idx="22">
                  <c:v>0.12698143687124311</c:v>
                </c:pt>
                <c:pt idx="23">
                  <c:v>2.0990652796405069E-2</c:v>
                </c:pt>
                <c:pt idx="24">
                  <c:v>0.16081085306061835</c:v>
                </c:pt>
              </c:numCache>
            </c:numRef>
          </c:val>
        </c:ser>
        <c:shape val="box"/>
        <c:axId val="333020160"/>
        <c:axId val="333030528"/>
        <c:axId val="0"/>
      </c:bar3DChart>
      <c:catAx>
        <c:axId val="333020160"/>
        <c:scaling>
          <c:orientation val="minMax"/>
        </c:scaling>
        <c:axPos val="b"/>
        <c:title>
          <c:tx>
            <c:rich>
              <a:bodyPr/>
              <a:lstStyle/>
              <a:p>
                <a:pPr>
                  <a:defRPr sz="925" b="1" i="0" u="none" strike="noStrike" baseline="0">
                    <a:solidFill>
                      <a:srgbClr val="000000"/>
                    </a:solidFill>
                    <a:latin typeface="Arial"/>
                    <a:ea typeface="Arial"/>
                    <a:cs typeface="Arial"/>
                  </a:defRPr>
                </a:pPr>
                <a:r>
                  <a:t>Años</a:t>
                </a:r>
              </a:p>
            </c:rich>
          </c:tx>
          <c:layout>
            <c:manualLayout>
              <c:xMode val="edge"/>
              <c:yMode val="edge"/>
              <c:x val="0.53083700440528658"/>
              <c:y val="0.92655367231638441"/>
            </c:manualLayout>
          </c:layout>
          <c:spPr>
            <a:noFill/>
            <a:ln w="25400">
              <a:noFill/>
            </a:ln>
          </c:spPr>
        </c:title>
        <c:numFmt formatCode="General" sourceLinked="1"/>
        <c:tickLblPos val="low"/>
        <c:spPr>
          <a:ln w="3175">
            <a:solidFill>
              <a:srgbClr val="000000"/>
            </a:solidFill>
            <a:prstDash val="solid"/>
          </a:ln>
        </c:spPr>
        <c:txPr>
          <a:bodyPr rot="-5400000" vert="horz"/>
          <a:lstStyle/>
          <a:p>
            <a:pPr>
              <a:defRPr sz="925" b="0" i="0" u="none" strike="noStrike" baseline="0">
                <a:solidFill>
                  <a:srgbClr val="000000"/>
                </a:solidFill>
                <a:latin typeface="Arial"/>
                <a:ea typeface="Arial"/>
                <a:cs typeface="Arial"/>
              </a:defRPr>
            </a:pPr>
            <a:endParaRPr lang="es-ES"/>
          </a:p>
        </c:txPr>
        <c:crossAx val="333030528"/>
        <c:crosses val="autoZero"/>
        <c:auto val="1"/>
        <c:lblAlgn val="ctr"/>
        <c:lblOffset val="100"/>
        <c:tickLblSkip val="2"/>
        <c:tickMarkSkip val="1"/>
      </c:catAx>
      <c:valAx>
        <c:axId val="333030528"/>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Variación</a:t>
                </a:r>
              </a:p>
            </c:rich>
          </c:tx>
          <c:layout>
            <c:manualLayout>
              <c:xMode val="edge"/>
              <c:yMode val="edge"/>
              <c:x val="2.6431718061674041E-2"/>
              <c:y val="0.42184557438794756"/>
            </c:manualLayout>
          </c:layout>
          <c:spPr>
            <a:noFill/>
            <a:ln w="25400">
              <a:noFill/>
            </a:ln>
          </c:spPr>
        </c:title>
        <c:numFmt formatCode="0.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33020160"/>
        <c:crosses val="autoZero"/>
        <c:crossBetween val="between"/>
      </c:valAx>
      <c:spPr>
        <a:noFill/>
        <a:ln w="25400">
          <a:noFill/>
        </a:ln>
      </c:spPr>
    </c:plotArea>
    <c:legend>
      <c:legendPos val="t"/>
      <c:layout>
        <c:manualLayout>
          <c:xMode val="edge"/>
          <c:yMode val="edge"/>
          <c:x val="0.43392070484581519"/>
          <c:y val="5.6497175141242938E-3"/>
          <c:w val="0.13215859030837002"/>
          <c:h val="4.3314500941619614E-2"/>
        </c:manualLayout>
      </c:layou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20366132723112129"/>
          <c:y val="0.18703241895261846"/>
          <c:w val="0.63615560640732283"/>
          <c:h val="0.63341645885286757"/>
        </c:manualLayout>
      </c:layout>
      <c:lineChart>
        <c:grouping val="standard"/>
        <c:ser>
          <c:idx val="0"/>
          <c:order val="0"/>
          <c:tx>
            <c:strRef>
              <c:f>Variables!$F$2</c:f>
              <c:strCache>
                <c:ptCount val="1"/>
                <c:pt idx="0">
                  <c:v>Pasivos</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Variables!$E$3:$E$28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Variables!$F$3:$F$28</c:f>
              <c:numCache>
                <c:formatCode>0.00</c:formatCode>
                <c:ptCount val="26"/>
                <c:pt idx="0">
                  <c:v>783.63122261906926</c:v>
                </c:pt>
                <c:pt idx="1">
                  <c:v>1157.5748211374228</c:v>
                </c:pt>
                <c:pt idx="2">
                  <c:v>1465.6749303987942</c:v>
                </c:pt>
                <c:pt idx="3">
                  <c:v>1382.9736629710037</c:v>
                </c:pt>
                <c:pt idx="4">
                  <c:v>1826.515023809834</c:v>
                </c:pt>
                <c:pt idx="5">
                  <c:v>2003.9206399551342</c:v>
                </c:pt>
                <c:pt idx="6">
                  <c:v>2278.5176564260441</c:v>
                </c:pt>
                <c:pt idx="7">
                  <c:v>2734.8931344325238</c:v>
                </c:pt>
                <c:pt idx="8">
                  <c:v>1972.0456212475135</c:v>
                </c:pt>
                <c:pt idx="9">
                  <c:v>1152.3933963981408</c:v>
                </c:pt>
                <c:pt idx="10">
                  <c:v>1381.5665090737446</c:v>
                </c:pt>
                <c:pt idx="11">
                  <c:v>1687.0497839048001</c:v>
                </c:pt>
                <c:pt idx="12">
                  <c:v>1798.7532348465256</c:v>
                </c:pt>
                <c:pt idx="13">
                  <c:v>1972.0365244466243</c:v>
                </c:pt>
                <c:pt idx="14">
                  <c:v>1222.9883642053182</c:v>
                </c:pt>
                <c:pt idx="15">
                  <c:v>1248.8203469188657</c:v>
                </c:pt>
                <c:pt idx="16">
                  <c:v>1434.6362101075608</c:v>
                </c:pt>
                <c:pt idx="17">
                  <c:v>1854.4801417074991</c:v>
                </c:pt>
                <c:pt idx="18">
                  <c:v>2017.064628570281</c:v>
                </c:pt>
                <c:pt idx="19">
                  <c:v>2559.5428847822095</c:v>
                </c:pt>
                <c:pt idx="20">
                  <c:v>3365.5827690164288</c:v>
                </c:pt>
                <c:pt idx="21">
                  <c:v>4249.4548719156355</c:v>
                </c:pt>
                <c:pt idx="22">
                  <c:v>4938.9282340485506</c:v>
                </c:pt>
                <c:pt idx="23">
                  <c:v>5320.1444616083354</c:v>
                </c:pt>
                <c:pt idx="24">
                  <c:v>5756.1757407989035</c:v>
                </c:pt>
                <c:pt idx="25">
                  <c:v>7482.2954177293086</c:v>
                </c:pt>
              </c:numCache>
            </c:numRef>
          </c:val>
        </c:ser>
        <c:marker val="1"/>
        <c:axId val="333144448"/>
        <c:axId val="333146752"/>
      </c:lineChart>
      <c:catAx>
        <c:axId val="333144448"/>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48512585812356984"/>
              <c:y val="0.92019950124688299"/>
            </c:manualLayout>
          </c:layout>
          <c:spPr>
            <a:noFill/>
            <a:ln w="25380">
              <a:noFill/>
            </a:ln>
          </c:spPr>
        </c:title>
        <c:numFmt formatCode="General" sourceLinked="1"/>
        <c:tickLblPos val="nextTo"/>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3146752"/>
        <c:crosses val="autoZero"/>
        <c:auto val="1"/>
        <c:lblAlgn val="ctr"/>
        <c:lblOffset val="100"/>
        <c:tickLblSkip val="3"/>
        <c:tickMarkSkip val="1"/>
      </c:catAx>
      <c:valAx>
        <c:axId val="333146752"/>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2.2883295194508012E-2"/>
              <c:y val="0.36159600997506247"/>
            </c:manualLayout>
          </c:layout>
          <c:spPr>
            <a:noFill/>
            <a:ln w="25380">
              <a:noFill/>
            </a:ln>
          </c:spPr>
        </c:title>
        <c:numFmt formatCode="0.00"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3144448"/>
        <c:crosses val="autoZero"/>
        <c:crossBetween val="between"/>
      </c:valAx>
      <c:spPr>
        <a:solidFill>
          <a:srgbClr val="C0C0C0"/>
        </a:solidFill>
        <a:ln w="12690">
          <a:solidFill>
            <a:srgbClr val="808080"/>
          </a:solidFill>
          <a:prstDash val="solid"/>
        </a:ln>
      </c:spPr>
    </c:plotArea>
    <c:legend>
      <c:legendPos val="t"/>
      <c:layout>
        <c:manualLayout>
          <c:xMode val="edge"/>
          <c:yMode val="edge"/>
          <c:x val="0.37757437070938238"/>
          <c:y val="1.9950124688279308E-2"/>
          <c:w val="0.19450800915331809"/>
          <c:h val="5.7356608478802994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9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812917594654788"/>
          <c:y val="9.9099099099099183E-2"/>
          <c:w val="0.8195991091314031"/>
          <c:h val="0.73873873873873874"/>
        </c:manualLayout>
      </c:layout>
      <c:bar3DChart>
        <c:barDir val="col"/>
        <c:grouping val="clustered"/>
        <c:ser>
          <c:idx val="0"/>
          <c:order val="0"/>
          <c:tx>
            <c:strRef>
              <c:f>Variables!$P$2:$P$3</c:f>
              <c:strCache>
                <c:ptCount val="1"/>
                <c:pt idx="0">
                  <c:v>Pasivos</c:v>
                </c:pt>
              </c:strCache>
            </c:strRef>
          </c:tx>
          <c:spPr>
            <a:solidFill>
              <a:srgbClr val="9999FF"/>
            </a:solidFill>
            <a:ln w="12690">
              <a:solidFill>
                <a:srgbClr val="000000"/>
              </a:solidFill>
              <a:prstDash val="solid"/>
            </a:ln>
          </c:spPr>
          <c:cat>
            <c:numRef>
              <c:f>Variables!$O$4:$O$28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Variables!$P$4:$P$28</c:f>
              <c:numCache>
                <c:formatCode>0.00</c:formatCode>
                <c:ptCount val="25"/>
                <c:pt idx="0">
                  <c:v>0.47719333753516285</c:v>
                </c:pt>
                <c:pt idx="1">
                  <c:v>0.26615999556610509</c:v>
                </c:pt>
                <c:pt idx="2">
                  <c:v>-5.6425381721777024E-2</c:v>
                </c:pt>
                <c:pt idx="3">
                  <c:v>0.32071569597788513</c:v>
                </c:pt>
                <c:pt idx="4">
                  <c:v>9.7127926040957754E-2</c:v>
                </c:pt>
                <c:pt idx="5">
                  <c:v>0.13702988581277253</c:v>
                </c:pt>
                <c:pt idx="6">
                  <c:v>0.20029490520706503</c:v>
                </c:pt>
                <c:pt idx="7">
                  <c:v>-0.27893137891959935</c:v>
                </c:pt>
                <c:pt idx="8">
                  <c:v>-0.415635528923951</c:v>
                </c:pt>
                <c:pt idx="9">
                  <c:v>0.19886708253613183</c:v>
                </c:pt>
                <c:pt idx="10">
                  <c:v>0.22111369436413439</c:v>
                </c:pt>
                <c:pt idx="11">
                  <c:v>6.6212302688057278E-2</c:v>
                </c:pt>
                <c:pt idx="12">
                  <c:v>9.6335220553408735E-2</c:v>
                </c:pt>
                <c:pt idx="13">
                  <c:v>-0.37983483112793615</c:v>
                </c:pt>
                <c:pt idx="14">
                  <c:v>2.1122018385132679E-2</c:v>
                </c:pt>
                <c:pt idx="15">
                  <c:v>0.14879310995144018</c:v>
                </c:pt>
                <c:pt idx="16">
                  <c:v>0.29264835826809377</c:v>
                </c:pt>
                <c:pt idx="17">
                  <c:v>8.7671193239677328E-2</c:v>
                </c:pt>
                <c:pt idx="18">
                  <c:v>0.27</c:v>
                </c:pt>
                <c:pt idx="19">
                  <c:v>0.31000000000000011</c:v>
                </c:pt>
                <c:pt idx="20">
                  <c:v>0.26262081890724487</c:v>
                </c:pt>
                <c:pt idx="21">
                  <c:v>0.16224983742964236</c:v>
                </c:pt>
                <c:pt idx="22">
                  <c:v>7.7186022856479838E-2</c:v>
                </c:pt>
                <c:pt idx="23">
                  <c:v>8.1958541227046725E-2</c:v>
                </c:pt>
                <c:pt idx="24">
                  <c:v>0.29987265063780627</c:v>
                </c:pt>
              </c:numCache>
            </c:numRef>
          </c:val>
        </c:ser>
        <c:shape val="box"/>
        <c:axId val="333470336"/>
        <c:axId val="333751040"/>
        <c:axId val="0"/>
      </c:bar3DChart>
      <c:catAx>
        <c:axId val="333470336"/>
        <c:scaling>
          <c:orientation val="minMax"/>
        </c:scaling>
        <c:axPos val="b"/>
        <c:title>
          <c:tx>
            <c:rich>
              <a:bodyPr/>
              <a:lstStyle/>
              <a:p>
                <a:pPr>
                  <a:defRPr sz="899" b="1" i="0" u="none" strike="noStrike" baseline="0">
                    <a:solidFill>
                      <a:srgbClr val="000000"/>
                    </a:solidFill>
                    <a:latin typeface="Arial"/>
                    <a:ea typeface="Arial"/>
                    <a:cs typeface="Arial"/>
                  </a:defRPr>
                </a:pPr>
                <a:r>
                  <a:t>Años</a:t>
                </a:r>
              </a:p>
            </c:rich>
          </c:tx>
          <c:layout>
            <c:manualLayout>
              <c:xMode val="edge"/>
              <c:yMode val="edge"/>
              <c:x val="0.52783964365256142"/>
              <c:y val="0.91666666666666652"/>
            </c:manualLayout>
          </c:layout>
          <c:spPr>
            <a:noFill/>
            <a:ln w="25380">
              <a:noFill/>
            </a:ln>
          </c:spPr>
        </c:title>
        <c:numFmt formatCode="General" sourceLinked="1"/>
        <c:tickLblPos val="low"/>
        <c:spPr>
          <a:ln w="3173">
            <a:solidFill>
              <a:srgbClr val="000000"/>
            </a:solidFill>
            <a:prstDash val="solid"/>
          </a:ln>
        </c:spPr>
        <c:txPr>
          <a:bodyPr rot="-5400000" vert="horz"/>
          <a:lstStyle/>
          <a:p>
            <a:pPr>
              <a:defRPr sz="899" b="0" i="0" u="none" strike="noStrike" baseline="0">
                <a:solidFill>
                  <a:srgbClr val="000000"/>
                </a:solidFill>
                <a:latin typeface="Arial"/>
                <a:ea typeface="Arial"/>
                <a:cs typeface="Arial"/>
              </a:defRPr>
            </a:pPr>
            <a:endParaRPr lang="es-ES"/>
          </a:p>
        </c:txPr>
        <c:crossAx val="333751040"/>
        <c:crosses val="autoZero"/>
        <c:auto val="1"/>
        <c:lblAlgn val="ctr"/>
        <c:lblOffset val="100"/>
        <c:tickLblSkip val="2"/>
        <c:tickMarkSkip val="1"/>
      </c:catAx>
      <c:valAx>
        <c:axId val="333751040"/>
        <c:scaling>
          <c:orientation val="minMax"/>
        </c:scaling>
        <c:axPos val="l"/>
        <c:majorGridlines>
          <c:spPr>
            <a:ln w="3173">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t>Variación</a:t>
                </a:r>
              </a:p>
            </c:rich>
          </c:tx>
          <c:layout>
            <c:manualLayout>
              <c:xMode val="edge"/>
              <c:yMode val="edge"/>
              <c:x val="4.2316258351893114E-2"/>
              <c:y val="0.40990990990991011"/>
            </c:manualLayout>
          </c:layout>
          <c:spPr>
            <a:noFill/>
            <a:ln w="25380">
              <a:noFill/>
            </a:ln>
          </c:spPr>
        </c:title>
        <c:numFmt formatCode="0.00" sourceLinked="1"/>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33470336"/>
        <c:crosses val="autoZero"/>
        <c:crossBetween val="between"/>
      </c:valAx>
      <c:spPr>
        <a:noFill/>
        <a:ln w="25380">
          <a:noFill/>
        </a:ln>
      </c:spPr>
    </c:plotArea>
    <c:legend>
      <c:legendPos val="t"/>
      <c:layout>
        <c:manualLayout>
          <c:xMode val="edge"/>
          <c:yMode val="edge"/>
          <c:x val="0.42538975501113585"/>
          <c:y val="6.7567567567567571E-3"/>
          <c:w val="0.14699331848552347"/>
          <c:h val="5.1801801801801814E-2"/>
        </c:manualLayout>
      </c:layout>
      <c:spPr>
        <a:solidFill>
          <a:srgbClr val="FFFFFF"/>
        </a:solidFill>
        <a:ln w="3173">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3310023310023317"/>
          <c:y val="0.16761363636363635"/>
          <c:w val="0.62703962703962723"/>
          <c:h val="0.62784090909090928"/>
        </c:manualLayout>
      </c:layout>
      <c:lineChart>
        <c:grouping val="standard"/>
        <c:ser>
          <c:idx val="0"/>
          <c:order val="0"/>
          <c:tx>
            <c:strRef>
              <c:f>Variables!$H$2</c:f>
              <c:strCache>
                <c:ptCount val="1"/>
                <c:pt idx="0">
                  <c:v>Patrimonios</c:v>
                </c:pt>
              </c:strCache>
            </c:strRef>
          </c:tx>
          <c:spPr>
            <a:ln w="12691">
              <a:solidFill>
                <a:srgbClr val="000080"/>
              </a:solidFill>
              <a:prstDash val="solid"/>
            </a:ln>
          </c:spPr>
          <c:marker>
            <c:symbol val="diamond"/>
            <c:size val="4"/>
            <c:spPr>
              <a:solidFill>
                <a:srgbClr val="000080"/>
              </a:solidFill>
              <a:ln>
                <a:solidFill>
                  <a:srgbClr val="000080"/>
                </a:solidFill>
                <a:prstDash val="solid"/>
              </a:ln>
            </c:spPr>
          </c:marker>
          <c:cat>
            <c:numRef>
              <c:f>Variables!$G$3:$G$28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Variables!$H$3:$H$28</c:f>
              <c:numCache>
                <c:formatCode>0.00</c:formatCode>
                <c:ptCount val="26"/>
                <c:pt idx="0">
                  <c:v>268.01666301603871</c:v>
                </c:pt>
                <c:pt idx="1">
                  <c:v>445.37920784854094</c:v>
                </c:pt>
                <c:pt idx="2">
                  <c:v>589.51101406179157</c:v>
                </c:pt>
                <c:pt idx="3">
                  <c:v>585.43076778109446</c:v>
                </c:pt>
                <c:pt idx="4">
                  <c:v>572.95723441412213</c:v>
                </c:pt>
                <c:pt idx="5">
                  <c:v>1022.8070921902793</c:v>
                </c:pt>
                <c:pt idx="6">
                  <c:v>1143.4943476433789</c:v>
                </c:pt>
                <c:pt idx="7">
                  <c:v>1174.7012125970509</c:v>
                </c:pt>
                <c:pt idx="8">
                  <c:v>924.21373277612076</c:v>
                </c:pt>
                <c:pt idx="9">
                  <c:v>562.98733901997571</c:v>
                </c:pt>
                <c:pt idx="10">
                  <c:v>701.80029113088779</c:v>
                </c:pt>
                <c:pt idx="11">
                  <c:v>946.67207637363799</c:v>
                </c:pt>
                <c:pt idx="12">
                  <c:v>1051.0939178222386</c:v>
                </c:pt>
                <c:pt idx="13">
                  <c:v>1118.6571859869487</c:v>
                </c:pt>
                <c:pt idx="14">
                  <c:v>661.99893784382232</c:v>
                </c:pt>
                <c:pt idx="15">
                  <c:v>651.69825340388343</c:v>
                </c:pt>
                <c:pt idx="16">
                  <c:v>767.14922012078409</c:v>
                </c:pt>
                <c:pt idx="17">
                  <c:v>1180.634955970246</c:v>
                </c:pt>
                <c:pt idx="18">
                  <c:v>1521.5643115551006</c:v>
                </c:pt>
                <c:pt idx="19">
                  <c:v>1500.77</c:v>
                </c:pt>
                <c:pt idx="20">
                  <c:v>2076.6499514026968</c:v>
                </c:pt>
                <c:pt idx="21">
                  <c:v>2273.0653567931795</c:v>
                </c:pt>
                <c:pt idx="22">
                  <c:v>2782.1213214945997</c:v>
                </c:pt>
                <c:pt idx="23">
                  <c:v>3380.7639873080348</c:v>
                </c:pt>
                <c:pt idx="24">
                  <c:v>3127.9532269690276</c:v>
                </c:pt>
                <c:pt idx="25">
                  <c:v>2830.4979080459393</c:v>
                </c:pt>
              </c:numCache>
            </c:numRef>
          </c:val>
        </c:ser>
        <c:marker val="1"/>
        <c:axId val="334151680"/>
        <c:axId val="334153984"/>
      </c:lineChart>
      <c:catAx>
        <c:axId val="334151680"/>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0815850815850838"/>
              <c:y val="0.90909090909090906"/>
            </c:manualLayout>
          </c:layout>
          <c:spPr>
            <a:noFill/>
            <a:ln w="25381">
              <a:noFill/>
            </a:ln>
          </c:spPr>
        </c:title>
        <c:numFmt formatCode="General" sourceLinked="1"/>
        <c:tickLblPos val="nextTo"/>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4153984"/>
        <c:crosses val="autoZero"/>
        <c:auto val="1"/>
        <c:lblAlgn val="ctr"/>
        <c:lblOffset val="100"/>
        <c:tickLblSkip val="3"/>
        <c:tickMarkSkip val="1"/>
      </c:catAx>
      <c:valAx>
        <c:axId val="334153984"/>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4.8951048951048966E-2"/>
              <c:y val="0.31818181818181834"/>
            </c:manualLayout>
          </c:layout>
          <c:spPr>
            <a:noFill/>
            <a:ln w="25381">
              <a:noFill/>
            </a:ln>
          </c:spPr>
        </c:title>
        <c:numFmt formatCode="0.00"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4151680"/>
        <c:crosses val="autoZero"/>
        <c:crossBetween val="between"/>
      </c:valAx>
      <c:spPr>
        <a:solidFill>
          <a:srgbClr val="C0C0C0"/>
        </a:solidFill>
        <a:ln w="12691">
          <a:solidFill>
            <a:srgbClr val="808080"/>
          </a:solidFill>
          <a:prstDash val="solid"/>
        </a:ln>
      </c:spPr>
    </c:plotArea>
    <c:legend>
      <c:legendPos val="t"/>
      <c:layout>
        <c:manualLayout>
          <c:xMode val="edge"/>
          <c:yMode val="edge"/>
          <c:x val="0.3379953379953381"/>
          <c:y val="1.7045454545454544E-2"/>
          <c:w val="0.25174825174825177"/>
          <c:h val="6.5340909090909088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0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247139588100695"/>
          <c:y val="9.2050209205020925E-2"/>
          <c:w val="0.81464530892448561"/>
          <c:h val="0.75732217573221727"/>
        </c:manualLayout>
      </c:layout>
      <c:bar3DChart>
        <c:barDir val="col"/>
        <c:grouping val="clustered"/>
        <c:ser>
          <c:idx val="0"/>
          <c:order val="0"/>
          <c:tx>
            <c:strRef>
              <c:f>Variables!$R$2:$R$3</c:f>
              <c:strCache>
                <c:ptCount val="1"/>
                <c:pt idx="0">
                  <c:v>Patrimonios</c:v>
                </c:pt>
              </c:strCache>
            </c:strRef>
          </c:tx>
          <c:spPr>
            <a:solidFill>
              <a:srgbClr val="9999FF"/>
            </a:solidFill>
            <a:ln w="12690">
              <a:solidFill>
                <a:srgbClr val="000000"/>
              </a:solidFill>
              <a:prstDash val="solid"/>
            </a:ln>
          </c:spPr>
          <c:cat>
            <c:numRef>
              <c:f>Variables!$Q$4:$Q$28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Variables!$R$4:$R$28</c:f>
              <c:numCache>
                <c:formatCode>0.00</c:formatCode>
                <c:ptCount val="25"/>
                <c:pt idx="0">
                  <c:v>0.66175939524285665</c:v>
                </c:pt>
                <c:pt idx="1">
                  <c:v>0.32361592924262683</c:v>
                </c:pt>
                <c:pt idx="2">
                  <c:v>-6.9214080540814377E-3</c:v>
                </c:pt>
                <c:pt idx="3">
                  <c:v>-2.130659004180702E-2</c:v>
                </c:pt>
                <c:pt idx="4">
                  <c:v>0.78513688414485483</c:v>
                </c:pt>
                <c:pt idx="5">
                  <c:v>0.11799610735456985</c:v>
                </c:pt>
                <c:pt idx="6">
                  <c:v>2.7290790739793413E-2</c:v>
                </c:pt>
                <c:pt idx="7">
                  <c:v>-0.21323505682534277</c:v>
                </c:pt>
                <c:pt idx="8">
                  <c:v>-0.39084724771520724</c:v>
                </c:pt>
                <c:pt idx="9">
                  <c:v>0.24656496245999379</c:v>
                </c:pt>
                <c:pt idx="10">
                  <c:v>0.34891946945214453</c:v>
                </c:pt>
                <c:pt idx="11">
                  <c:v>0.11030413176292651</c:v>
                </c:pt>
                <c:pt idx="12">
                  <c:v>6.4279002113050362E-2</c:v>
                </c:pt>
                <c:pt idx="13">
                  <c:v>-0.40822001044067346</c:v>
                </c:pt>
                <c:pt idx="14">
                  <c:v>-1.5559971249332548E-2</c:v>
                </c:pt>
                <c:pt idx="15">
                  <c:v>0.17715402199390451</c:v>
                </c:pt>
                <c:pt idx="16">
                  <c:v>0.53898997092685552</c:v>
                </c:pt>
                <c:pt idx="17">
                  <c:v>0.28876779724405188</c:v>
                </c:pt>
                <c:pt idx="18">
                  <c:v>-1.0000000000000004E-2</c:v>
                </c:pt>
                <c:pt idx="19">
                  <c:v>0.38000000000000012</c:v>
                </c:pt>
                <c:pt idx="20">
                  <c:v>9.458281847540545E-2</c:v>
                </c:pt>
                <c:pt idx="21">
                  <c:v>0.22395131014604613</c:v>
                </c:pt>
                <c:pt idx="22">
                  <c:v>0.21517489592863387</c:v>
                </c:pt>
                <c:pt idx="23">
                  <c:v>-7.4779180471663195E-2</c:v>
                </c:pt>
                <c:pt idx="24">
                  <c:v>-9.509583338984974E-2</c:v>
                </c:pt>
              </c:numCache>
            </c:numRef>
          </c:val>
        </c:ser>
        <c:shape val="box"/>
        <c:axId val="334260480"/>
        <c:axId val="334565760"/>
        <c:axId val="0"/>
      </c:bar3DChart>
      <c:catAx>
        <c:axId val="334260480"/>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286041189931352"/>
              <c:y val="0.92050209205020916"/>
            </c:manualLayout>
          </c:layout>
          <c:spPr>
            <a:noFill/>
            <a:ln w="25381">
              <a:noFill/>
            </a:ln>
          </c:spPr>
        </c:title>
        <c:numFmt formatCode="General" sourceLinked="1"/>
        <c:tickLblPos val="low"/>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4565760"/>
        <c:crosses val="autoZero"/>
        <c:auto val="1"/>
        <c:lblAlgn val="ctr"/>
        <c:lblOffset val="100"/>
        <c:tickLblSkip val="2"/>
        <c:tickMarkSkip val="1"/>
      </c:catAx>
      <c:valAx>
        <c:axId val="334565760"/>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Variación</a:t>
                </a:r>
              </a:p>
            </c:rich>
          </c:tx>
          <c:layout>
            <c:manualLayout>
              <c:xMode val="edge"/>
              <c:yMode val="edge"/>
              <c:x val="2.9748283752860413E-2"/>
              <c:y val="0.41422594142259417"/>
            </c:manualLayout>
          </c:layout>
          <c:spPr>
            <a:noFill/>
            <a:ln w="25381">
              <a:noFill/>
            </a:ln>
          </c:spPr>
        </c:title>
        <c:numFmt formatCode="0.00"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4260480"/>
        <c:crosses val="autoZero"/>
        <c:crossBetween val="between"/>
      </c:valAx>
      <c:spPr>
        <a:noFill/>
        <a:ln w="25381">
          <a:noFill/>
        </a:ln>
      </c:spPr>
    </c:plotArea>
    <c:legend>
      <c:legendPos val="t"/>
      <c:layout>
        <c:manualLayout>
          <c:xMode val="edge"/>
          <c:yMode val="edge"/>
          <c:x val="0.39816933638443947"/>
          <c:y val="6.2761506276150644E-3"/>
          <c:w val="0.20366132723112129"/>
          <c:h val="4.8117154811715496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017937219730942"/>
          <c:y val="0.11622276029055695"/>
          <c:w val="0.77578475336322894"/>
          <c:h val="0.70702179176755453"/>
        </c:manualLayout>
      </c:layout>
      <c:lineChart>
        <c:grouping val="standard"/>
        <c:ser>
          <c:idx val="0"/>
          <c:order val="0"/>
          <c:tx>
            <c:strRef>
              <c:f>Variables!$J$2</c:f>
              <c:strCache>
                <c:ptCount val="1"/>
                <c:pt idx="0">
                  <c:v>Ventas</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Variables!$I$3:$I$28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Variables!$J$3:$J$28</c:f>
              <c:numCache>
                <c:formatCode>0.00</c:formatCode>
                <c:ptCount val="26"/>
                <c:pt idx="0">
                  <c:v>913.27573482646324</c:v>
                </c:pt>
                <c:pt idx="1">
                  <c:v>1305.7490575947261</c:v>
                </c:pt>
                <c:pt idx="2">
                  <c:v>1553.5349076451917</c:v>
                </c:pt>
                <c:pt idx="3">
                  <c:v>1652.2128421093832</c:v>
                </c:pt>
                <c:pt idx="4">
                  <c:v>1930.0460537077013</c:v>
                </c:pt>
                <c:pt idx="5">
                  <c:v>2376.6635576259696</c:v>
                </c:pt>
                <c:pt idx="6">
                  <c:v>2726.2040686687328</c:v>
                </c:pt>
                <c:pt idx="7">
                  <c:v>3662.4827706534065</c:v>
                </c:pt>
                <c:pt idx="8">
                  <c:v>2340.5924595923261</c:v>
                </c:pt>
                <c:pt idx="9">
                  <c:v>1417.2561488911276</c:v>
                </c:pt>
                <c:pt idx="10">
                  <c:v>1943.7249925240158</c:v>
                </c:pt>
                <c:pt idx="11">
                  <c:v>2403.7347120625918</c:v>
                </c:pt>
                <c:pt idx="12">
                  <c:v>2511.7120766715275</c:v>
                </c:pt>
                <c:pt idx="13">
                  <c:v>2517.9810918142975</c:v>
                </c:pt>
                <c:pt idx="14">
                  <c:v>1521.8694937075477</c:v>
                </c:pt>
                <c:pt idx="15">
                  <c:v>1831.614601032257</c:v>
                </c:pt>
                <c:pt idx="16">
                  <c:v>2111.0559743414783</c:v>
                </c:pt>
                <c:pt idx="17">
                  <c:v>2776.0763335687952</c:v>
                </c:pt>
                <c:pt idx="18">
                  <c:v>2821.5228906408111</c:v>
                </c:pt>
                <c:pt idx="19">
                  <c:v>3795.0985351801514</c:v>
                </c:pt>
                <c:pt idx="20">
                  <c:v>4552.7796429840118</c:v>
                </c:pt>
                <c:pt idx="21">
                  <c:v>5542.6453140007625</c:v>
                </c:pt>
                <c:pt idx="22">
                  <c:v>5797.2828063984862</c:v>
                </c:pt>
                <c:pt idx="23">
                  <c:v>7285.9701771014361</c:v>
                </c:pt>
                <c:pt idx="24">
                  <c:v>7050.6411370916685</c:v>
                </c:pt>
                <c:pt idx="25">
                  <c:v>4445.0598686809144</c:v>
                </c:pt>
              </c:numCache>
            </c:numRef>
          </c:val>
        </c:ser>
        <c:marker val="1"/>
        <c:axId val="334142848"/>
        <c:axId val="334878592"/>
      </c:lineChart>
      <c:catAx>
        <c:axId val="334142848"/>
        <c:scaling>
          <c:orientation val="minMax"/>
        </c:scaling>
        <c:axPos val="b"/>
        <c:title>
          <c:tx>
            <c:rich>
              <a:bodyPr/>
              <a:lstStyle/>
              <a:p>
                <a:pPr>
                  <a:defRPr sz="899" b="1" i="0" u="none" strike="noStrike" baseline="0">
                    <a:solidFill>
                      <a:srgbClr val="000000"/>
                    </a:solidFill>
                    <a:latin typeface="Arial"/>
                    <a:ea typeface="Arial"/>
                    <a:cs typeface="Arial"/>
                  </a:defRPr>
                </a:pPr>
                <a:r>
                  <a:t>Años</a:t>
                </a:r>
              </a:p>
            </c:rich>
          </c:tx>
          <c:layout>
            <c:manualLayout>
              <c:xMode val="edge"/>
              <c:yMode val="edge"/>
              <c:x val="0.55381165919282538"/>
              <c:y val="0.92009685230024241"/>
            </c:manualLayout>
          </c:layout>
          <c:spPr>
            <a:noFill/>
            <a:ln w="25380">
              <a:noFill/>
            </a:ln>
          </c:spPr>
        </c:title>
        <c:numFmt formatCode="General" sourceLinked="1"/>
        <c:tickLblPos val="nextTo"/>
        <c:spPr>
          <a:ln w="3172">
            <a:solidFill>
              <a:srgbClr val="000000"/>
            </a:solidFill>
            <a:prstDash val="solid"/>
          </a:ln>
        </c:spPr>
        <c:txPr>
          <a:bodyPr rot="-5400000" vert="horz"/>
          <a:lstStyle/>
          <a:p>
            <a:pPr>
              <a:defRPr sz="899" b="0" i="0" u="none" strike="noStrike" baseline="0">
                <a:solidFill>
                  <a:srgbClr val="000000"/>
                </a:solidFill>
                <a:latin typeface="Arial"/>
                <a:ea typeface="Arial"/>
                <a:cs typeface="Arial"/>
              </a:defRPr>
            </a:pPr>
            <a:endParaRPr lang="es-ES"/>
          </a:p>
        </c:txPr>
        <c:crossAx val="334878592"/>
        <c:crosses val="autoZero"/>
        <c:auto val="1"/>
        <c:lblAlgn val="ctr"/>
        <c:lblOffset val="100"/>
        <c:tickLblSkip val="2"/>
        <c:tickMarkSkip val="1"/>
      </c:catAx>
      <c:valAx>
        <c:axId val="334878592"/>
        <c:scaling>
          <c:orientation val="minMax"/>
        </c:scaling>
        <c:axPos val="l"/>
        <c:majorGridlines>
          <c:spPr>
            <a:ln w="3172">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t>Millones de dólares</a:t>
                </a:r>
              </a:p>
            </c:rich>
          </c:tx>
          <c:layout>
            <c:manualLayout>
              <c:xMode val="edge"/>
              <c:yMode val="edge"/>
              <c:x val="2.4663677130044841E-2"/>
              <c:y val="0.33171912832929795"/>
            </c:manualLayout>
          </c:layout>
          <c:spPr>
            <a:noFill/>
            <a:ln w="25380">
              <a:noFill/>
            </a:ln>
          </c:spPr>
        </c:title>
        <c:numFmt formatCode="0.00"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34142848"/>
        <c:crosses val="autoZero"/>
        <c:crossBetween val="between"/>
      </c:valAx>
      <c:spPr>
        <a:solidFill>
          <a:srgbClr val="C0C0C0"/>
        </a:solidFill>
        <a:ln w="12690">
          <a:solidFill>
            <a:srgbClr val="808080"/>
          </a:solidFill>
          <a:prstDash val="solid"/>
        </a:ln>
      </c:spPr>
    </c:plotArea>
    <c:legend>
      <c:legendPos val="t"/>
      <c:layout>
        <c:manualLayout>
          <c:xMode val="edge"/>
          <c:yMode val="edge"/>
          <c:x val="0.5"/>
          <c:y val="7.2639225181598084E-3"/>
          <c:w val="0.17713004484304934"/>
          <c:h val="5.569007263922518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0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143497757847539"/>
          <c:y val="8.995815899581594E-2"/>
          <c:w val="0.81614349775784767"/>
          <c:h val="0.75732217573221727"/>
        </c:manualLayout>
      </c:layout>
      <c:bar3DChart>
        <c:barDir val="col"/>
        <c:grouping val="clustered"/>
        <c:ser>
          <c:idx val="0"/>
          <c:order val="0"/>
          <c:tx>
            <c:strRef>
              <c:f>Variables!$T$2:$T$3</c:f>
              <c:strCache>
                <c:ptCount val="1"/>
                <c:pt idx="0">
                  <c:v>Ventas</c:v>
                </c:pt>
              </c:strCache>
            </c:strRef>
          </c:tx>
          <c:spPr>
            <a:solidFill>
              <a:srgbClr val="9999FF"/>
            </a:solidFill>
            <a:ln w="12700">
              <a:solidFill>
                <a:srgbClr val="000000"/>
              </a:solidFill>
              <a:prstDash val="solid"/>
            </a:ln>
          </c:spPr>
          <c:cat>
            <c:numRef>
              <c:f>Variables!$S$4:$S$28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Variables!$T$4:$T$28</c:f>
              <c:numCache>
                <c:formatCode>0.00</c:formatCode>
                <c:ptCount val="25"/>
                <c:pt idx="0">
                  <c:v>0.4297424182006101</c:v>
                </c:pt>
                <c:pt idx="1">
                  <c:v>0.18976529112485299</c:v>
                </c:pt>
                <c:pt idx="2">
                  <c:v>6.3518324550405875E-2</c:v>
                </c:pt>
                <c:pt idx="3">
                  <c:v>0.16815824482008421</c:v>
                </c:pt>
                <c:pt idx="4">
                  <c:v>0.23140251138582821</c:v>
                </c:pt>
                <c:pt idx="5">
                  <c:v>0.14707193616917238</c:v>
                </c:pt>
                <c:pt idx="6">
                  <c:v>0.34343676350020202</c:v>
                </c:pt>
                <c:pt idx="7">
                  <c:v>-0.36092738009665742</c:v>
                </c:pt>
                <c:pt idx="8">
                  <c:v>-0.39448828732107499</c:v>
                </c:pt>
                <c:pt idx="9">
                  <c:v>0.37147049532634052</c:v>
                </c:pt>
                <c:pt idx="10">
                  <c:v>0.23666399377888889</c:v>
                </c:pt>
                <c:pt idx="11">
                  <c:v>4.4920666189607383E-2</c:v>
                </c:pt>
                <c:pt idx="12">
                  <c:v>2.4959131267460201E-3</c:v>
                </c:pt>
                <c:pt idx="13">
                  <c:v>-0.39559931619224964</c:v>
                </c:pt>
                <c:pt idx="14">
                  <c:v>0.20352934900489705</c:v>
                </c:pt>
                <c:pt idx="15">
                  <c:v>0.15256559603299383</c:v>
                </c:pt>
                <c:pt idx="16">
                  <c:v>0.31501787129768782</c:v>
                </c:pt>
                <c:pt idx="17">
                  <c:v>1.6370787979591593E-2</c:v>
                </c:pt>
                <c:pt idx="18">
                  <c:v>0.34505325041620516</c:v>
                </c:pt>
                <c:pt idx="19">
                  <c:v>0.19964728208773527</c:v>
                </c:pt>
                <c:pt idx="20">
                  <c:v>0.21742007051497941</c:v>
                </c:pt>
                <c:pt idx="21">
                  <c:v>4.5941509508917941E-2</c:v>
                </c:pt>
                <c:pt idx="22">
                  <c:v>0.25679053798442941</c:v>
                </c:pt>
                <c:pt idx="23">
                  <c:v>-3.229892990083455E-2</c:v>
                </c:pt>
                <c:pt idx="24">
                  <c:v>-0.36955238789610767</c:v>
                </c:pt>
              </c:numCache>
            </c:numRef>
          </c:val>
        </c:ser>
        <c:shape val="box"/>
        <c:axId val="332208000"/>
        <c:axId val="332214272"/>
        <c:axId val="0"/>
      </c:bar3DChart>
      <c:catAx>
        <c:axId val="332208000"/>
        <c:scaling>
          <c:orientation val="minMax"/>
        </c:scaling>
        <c:axPos val="b"/>
        <c:title>
          <c:tx>
            <c:rich>
              <a:bodyPr/>
              <a:lstStyle/>
              <a:p>
                <a:pPr>
                  <a:defRPr sz="900" b="1" i="0" u="none" strike="noStrike" baseline="0">
                    <a:solidFill>
                      <a:srgbClr val="000000"/>
                    </a:solidFill>
                    <a:latin typeface="Arial"/>
                    <a:ea typeface="Arial"/>
                    <a:cs typeface="Arial"/>
                  </a:defRPr>
                </a:pPr>
                <a:r>
                  <a:t>Años</a:t>
                </a:r>
              </a:p>
            </c:rich>
          </c:tx>
          <c:layout>
            <c:manualLayout>
              <c:xMode val="edge"/>
              <c:yMode val="edge"/>
              <c:x val="0.53139013452914818"/>
              <c:y val="0.91841004184100383"/>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s-ES"/>
          </a:p>
        </c:txPr>
        <c:crossAx val="332214272"/>
        <c:crosses val="autoZero"/>
        <c:auto val="1"/>
        <c:lblAlgn val="ctr"/>
        <c:lblOffset val="100"/>
        <c:tickLblSkip val="2"/>
        <c:tickMarkSkip val="1"/>
      </c:catAx>
      <c:valAx>
        <c:axId val="332214272"/>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Variación</a:t>
                </a:r>
              </a:p>
            </c:rich>
          </c:tx>
          <c:layout>
            <c:manualLayout>
              <c:xMode val="edge"/>
              <c:yMode val="edge"/>
              <c:x val="3.1390134529147982E-2"/>
              <c:y val="0.41213389121338911"/>
            </c:manualLayout>
          </c:layout>
          <c:spPr>
            <a:noFill/>
            <a:ln w="25399">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332208000"/>
        <c:crosses val="autoZero"/>
        <c:crossBetween val="between"/>
      </c:valAx>
      <c:spPr>
        <a:noFill/>
        <a:ln w="25399">
          <a:noFill/>
        </a:ln>
      </c:spPr>
    </c:plotArea>
    <c:legend>
      <c:legendPos val="t"/>
      <c:layout>
        <c:manualLayout>
          <c:xMode val="edge"/>
          <c:yMode val="edge"/>
          <c:x val="0.43273542600896853"/>
          <c:y val="6.2761506276150644E-3"/>
          <c:w val="0.13452914798206284"/>
          <c:h val="4.8117154811715496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470852017937226"/>
          <c:y val="0.1111111111111111"/>
          <c:w val="0.82286995515695049"/>
          <c:h val="0.71990740740740766"/>
        </c:manualLayout>
      </c:layout>
      <c:lineChart>
        <c:grouping val="standard"/>
        <c:ser>
          <c:idx val="0"/>
          <c:order val="0"/>
          <c:tx>
            <c:strRef>
              <c:f>Variables!$V$2</c:f>
              <c:strCache>
                <c:ptCount val="1"/>
                <c:pt idx="0">
                  <c:v>Endeudamiento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Variables!$U$3:$U$28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Variables!$V$3:$V$28</c:f>
              <c:numCache>
                <c:formatCode>0.00</c:formatCode>
                <c:ptCount val="26"/>
                <c:pt idx="0">
                  <c:v>0.74799502642213311</c:v>
                </c:pt>
                <c:pt idx="1">
                  <c:v>0.72215097888347468</c:v>
                </c:pt>
                <c:pt idx="2">
                  <c:v>0.71315928096398262</c:v>
                </c:pt>
                <c:pt idx="3">
                  <c:v>0.70258613594086938</c:v>
                </c:pt>
                <c:pt idx="4">
                  <c:v>0.76121531205440418</c:v>
                </c:pt>
                <c:pt idx="5">
                  <c:v>0.66207495926127113</c:v>
                </c:pt>
                <c:pt idx="6">
                  <c:v>0.66584151479201525</c:v>
                </c:pt>
                <c:pt idx="7">
                  <c:v>0.69958368740136656</c:v>
                </c:pt>
                <c:pt idx="8">
                  <c:v>0.68076730744630121</c:v>
                </c:pt>
                <c:pt idx="9">
                  <c:v>0.67179413522617293</c:v>
                </c:pt>
                <c:pt idx="10">
                  <c:v>0.66311423148779691</c:v>
                </c:pt>
                <c:pt idx="11">
                  <c:v>0.64061725397355374</c:v>
                </c:pt>
                <c:pt idx="12">
                  <c:v>0.63112103580933365</c:v>
                </c:pt>
                <c:pt idx="13">
                  <c:v>0.63807498053289546</c:v>
                </c:pt>
                <c:pt idx="14">
                  <c:v>0.64876956352802173</c:v>
                </c:pt>
                <c:pt idx="15">
                  <c:v>0.65712808253347077</c:v>
                </c:pt>
                <c:pt idx="16">
                  <c:v>0.65157857364819494</c:v>
                </c:pt>
                <c:pt idx="17">
                  <c:v>0.61545278960696592</c:v>
                </c:pt>
                <c:pt idx="18">
                  <c:v>0.57001303688507454</c:v>
                </c:pt>
                <c:pt idx="19">
                  <c:v>0.66000000000000025</c:v>
                </c:pt>
                <c:pt idx="20">
                  <c:v>0.61841936548442078</c:v>
                </c:pt>
                <c:pt idx="21">
                  <c:v>0.65150505064157604</c:v>
                </c:pt>
                <c:pt idx="22">
                  <c:v>0.63967059914785851</c:v>
                </c:pt>
                <c:pt idx="23">
                  <c:v>0.61140690173854739</c:v>
                </c:pt>
                <c:pt idx="24">
                  <c:v>0.64791672449630111</c:v>
                </c:pt>
                <c:pt idx="25">
                  <c:v>0.72553528237868015</c:v>
                </c:pt>
              </c:numCache>
            </c:numRef>
          </c:val>
        </c:ser>
        <c:marker val="1"/>
        <c:axId val="332246016"/>
        <c:axId val="334870016"/>
      </c:lineChart>
      <c:catAx>
        <c:axId val="332246016"/>
        <c:scaling>
          <c:orientation val="minMax"/>
        </c:scaling>
        <c:axPos val="b"/>
        <c:title>
          <c:tx>
            <c:rich>
              <a:bodyPr/>
              <a:lstStyle/>
              <a:p>
                <a:pPr>
                  <a:defRPr sz="900" b="1" i="0" u="none" strike="noStrike" baseline="0">
                    <a:solidFill>
                      <a:srgbClr val="000000"/>
                    </a:solidFill>
                    <a:latin typeface="Arial"/>
                    <a:ea typeface="Arial"/>
                    <a:cs typeface="Arial"/>
                  </a:defRPr>
                </a:pPr>
                <a:r>
                  <a:t>Años</a:t>
                </a:r>
              </a:p>
            </c:rich>
          </c:tx>
          <c:layout>
            <c:manualLayout>
              <c:xMode val="edge"/>
              <c:yMode val="edge"/>
              <c:x val="0.52914798206278024"/>
              <c:y val="0.92361111111111138"/>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s-ES"/>
          </a:p>
        </c:txPr>
        <c:crossAx val="334870016"/>
        <c:crosses val="autoZero"/>
        <c:auto val="1"/>
        <c:lblAlgn val="ctr"/>
        <c:lblOffset val="100"/>
        <c:tickLblSkip val="2"/>
        <c:tickMarkSkip val="1"/>
      </c:catAx>
      <c:valAx>
        <c:axId val="334870016"/>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Razón</a:t>
                </a:r>
              </a:p>
            </c:rich>
          </c:tx>
          <c:layout>
            <c:manualLayout>
              <c:xMode val="edge"/>
              <c:yMode val="edge"/>
              <c:x val="2.4663677130044841E-2"/>
              <c:y val="0.42592592592592615"/>
            </c:manualLayout>
          </c:layout>
          <c:spPr>
            <a:noFill/>
            <a:ln w="25400">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332246016"/>
        <c:crosses val="autoZero"/>
        <c:crossBetween val="between"/>
      </c:valAx>
      <c:spPr>
        <a:solidFill>
          <a:srgbClr val="C0C0C0"/>
        </a:solidFill>
        <a:ln w="12700">
          <a:solidFill>
            <a:srgbClr val="808080"/>
          </a:solidFill>
          <a:prstDash val="solid"/>
        </a:ln>
      </c:spPr>
    </c:plotArea>
    <c:legend>
      <c:legendPos val="t"/>
      <c:layout>
        <c:manualLayout>
          <c:xMode val="edge"/>
          <c:yMode val="edge"/>
          <c:x val="0.42152466367713026"/>
          <c:y val="6.9444444444444475E-3"/>
          <c:w val="0.28923766816143487"/>
          <c:h val="5.3240740740740741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24" b="1" i="0" u="none" strike="noStrike" baseline="0">
                <a:solidFill>
                  <a:srgbClr val="000000"/>
                </a:solidFill>
                <a:latin typeface="Arial"/>
                <a:ea typeface="Arial"/>
                <a:cs typeface="Arial"/>
              </a:defRPr>
            </a:pPr>
            <a:r>
              <a:t>Número de empleo por provincia</a:t>
            </a:r>
          </a:p>
        </c:rich>
      </c:tx>
      <c:layout>
        <c:manualLayout>
          <c:xMode val="edge"/>
          <c:yMode val="edge"/>
          <c:x val="0.14965986394557818"/>
          <c:y val="2.0979020979020994E-2"/>
        </c:manualLayout>
      </c:layout>
      <c:spPr>
        <a:noFill/>
        <a:ln w="25381">
          <a:noFill/>
        </a:ln>
      </c:spPr>
    </c:title>
    <c:view3D>
      <c:rotX val="37"/>
      <c:hPercent val="86"/>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646258503401367"/>
          <c:y val="0.13519813519813526"/>
          <c:w val="0.82086167800453536"/>
          <c:h val="0.62470862470862498"/>
        </c:manualLayout>
      </c:layout>
      <c:bar3DChart>
        <c:barDir val="col"/>
        <c:grouping val="clustered"/>
        <c:ser>
          <c:idx val="0"/>
          <c:order val="0"/>
          <c:spPr>
            <a:solidFill>
              <a:srgbClr val="9999FF"/>
            </a:solidFill>
            <a:ln w="12690">
              <a:solidFill>
                <a:srgbClr val="000000"/>
              </a:solidFill>
              <a:prstDash val="solid"/>
            </a:ln>
          </c:spPr>
          <c:cat>
            <c:strRef>
              <c:f>Hoja1!$A$16:$A$24</c:f>
              <c:strCache>
                <c:ptCount val="9"/>
                <c:pt idx="0">
                  <c:v>Pichincha</c:v>
                </c:pt>
                <c:pt idx="1">
                  <c:v>Azuay</c:v>
                </c:pt>
                <c:pt idx="2">
                  <c:v>Imbabura</c:v>
                </c:pt>
                <c:pt idx="3">
                  <c:v>Cotopaxi</c:v>
                </c:pt>
                <c:pt idx="4">
                  <c:v>Tungurahua</c:v>
                </c:pt>
                <c:pt idx="5">
                  <c:v>Loja</c:v>
                </c:pt>
                <c:pt idx="6">
                  <c:v>Cañar</c:v>
                </c:pt>
                <c:pt idx="7">
                  <c:v>Chimborazo</c:v>
                </c:pt>
                <c:pt idx="8">
                  <c:v>Bolívar</c:v>
                </c:pt>
              </c:strCache>
            </c:strRef>
          </c:cat>
          <c:val>
            <c:numRef>
              <c:f>Hoja1!$B$16:$B$24</c:f>
              <c:numCache>
                <c:formatCode>#,##0</c:formatCode>
                <c:ptCount val="9"/>
                <c:pt idx="0">
                  <c:v>81343</c:v>
                </c:pt>
                <c:pt idx="1">
                  <c:v>7333</c:v>
                </c:pt>
                <c:pt idx="2">
                  <c:v>1722</c:v>
                </c:pt>
                <c:pt idx="3">
                  <c:v>1337</c:v>
                </c:pt>
                <c:pt idx="4">
                  <c:v>1332</c:v>
                </c:pt>
                <c:pt idx="5">
                  <c:v>776</c:v>
                </c:pt>
                <c:pt idx="6">
                  <c:v>503</c:v>
                </c:pt>
                <c:pt idx="7">
                  <c:v>414</c:v>
                </c:pt>
                <c:pt idx="8">
                  <c:v>161</c:v>
                </c:pt>
              </c:numCache>
            </c:numRef>
          </c:val>
        </c:ser>
        <c:shape val="box"/>
        <c:axId val="330062464"/>
        <c:axId val="330064640"/>
        <c:axId val="0"/>
      </c:bar3DChart>
      <c:catAx>
        <c:axId val="330062464"/>
        <c:scaling>
          <c:orientation val="minMax"/>
        </c:scaling>
        <c:axPos val="b"/>
        <c:title>
          <c:tx>
            <c:rich>
              <a:bodyPr/>
              <a:lstStyle/>
              <a:p>
                <a:pPr>
                  <a:defRPr sz="1199" b="1" i="0" u="none" strike="noStrike" baseline="0">
                    <a:solidFill>
                      <a:srgbClr val="000000"/>
                    </a:solidFill>
                    <a:latin typeface="Arial"/>
                    <a:ea typeface="Arial"/>
                    <a:cs typeface="Arial"/>
                  </a:defRPr>
                </a:pPr>
                <a:r>
                  <a:t>Provincias</a:t>
                </a:r>
              </a:p>
            </c:rich>
          </c:tx>
          <c:layout>
            <c:manualLayout>
              <c:xMode val="edge"/>
              <c:yMode val="edge"/>
              <c:x val="0.44671201814058953"/>
              <c:y val="0.8974358974358978"/>
            </c:manualLayout>
          </c:layout>
          <c:spPr>
            <a:noFill/>
            <a:ln w="25381">
              <a:noFill/>
            </a:ln>
          </c:spPr>
        </c:title>
        <c:numFmt formatCode="General" sourceLinked="1"/>
        <c:tickLblPos val="low"/>
        <c:spPr>
          <a:ln w="3173">
            <a:solidFill>
              <a:srgbClr val="000000"/>
            </a:solidFill>
            <a:prstDash val="solid"/>
          </a:ln>
        </c:spPr>
        <c:txPr>
          <a:bodyPr rot="-2700000" vert="horz"/>
          <a:lstStyle/>
          <a:p>
            <a:pPr>
              <a:defRPr sz="799" b="0" i="0" u="none" strike="noStrike" baseline="0">
                <a:solidFill>
                  <a:srgbClr val="000000"/>
                </a:solidFill>
                <a:latin typeface="Times New Roman"/>
                <a:ea typeface="Times New Roman"/>
                <a:cs typeface="Times New Roman"/>
              </a:defRPr>
            </a:pPr>
            <a:endParaRPr lang="es-ES"/>
          </a:p>
        </c:txPr>
        <c:crossAx val="330064640"/>
        <c:crosses val="autoZero"/>
        <c:auto val="1"/>
        <c:lblAlgn val="ctr"/>
        <c:lblOffset val="100"/>
        <c:tickLblSkip val="1"/>
        <c:tickMarkSkip val="1"/>
      </c:catAx>
      <c:valAx>
        <c:axId val="330064640"/>
        <c:scaling>
          <c:orientation val="minMax"/>
        </c:scaling>
        <c:axPos val="l"/>
        <c:majorGridlines>
          <c:spPr>
            <a:ln w="3173">
              <a:solidFill>
                <a:srgbClr val="000000"/>
              </a:solidFill>
              <a:prstDash val="solid"/>
            </a:ln>
          </c:spPr>
        </c:majorGridlines>
        <c:numFmt formatCode="#,##0"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062464"/>
        <c:crosses val="autoZero"/>
        <c:crossBetween val="between"/>
      </c:valAx>
      <c:spPr>
        <a:noFill/>
        <a:ln w="25381">
          <a:noFill/>
        </a:ln>
      </c:spPr>
    </c:plotArea>
    <c:plotVisOnly val="1"/>
    <c:dispBlanksAs val="gap"/>
  </c:chart>
  <c:spPr>
    <a:solidFill>
      <a:srgbClr val="FFFFFF"/>
    </a:solidFill>
    <a:ln w="3173">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789473684210537"/>
          <c:y val="0.1273209549071618"/>
          <c:w val="0.81922196796338675"/>
          <c:h val="0.67904509283819703"/>
        </c:manualLayout>
      </c:layout>
      <c:lineChart>
        <c:grouping val="standard"/>
        <c:ser>
          <c:idx val="0"/>
          <c:order val="0"/>
          <c:tx>
            <c:strRef>
              <c:f>Variables!$X$2</c:f>
              <c:strCache>
                <c:ptCount val="1"/>
                <c:pt idx="0">
                  <c:v>Participación en deudas</c:v>
                </c:pt>
              </c:strCache>
            </c:strRef>
          </c:tx>
          <c:spPr>
            <a:ln w="12689">
              <a:solidFill>
                <a:srgbClr val="000080"/>
              </a:solidFill>
              <a:prstDash val="solid"/>
            </a:ln>
          </c:spPr>
          <c:marker>
            <c:symbol val="diamond"/>
            <c:size val="4"/>
            <c:spPr>
              <a:solidFill>
                <a:srgbClr val="000080"/>
              </a:solidFill>
              <a:ln>
                <a:solidFill>
                  <a:srgbClr val="000080"/>
                </a:solidFill>
                <a:prstDash val="solid"/>
              </a:ln>
            </c:spPr>
          </c:marker>
          <c:cat>
            <c:numRef>
              <c:f>Variables!$W$3:$W$28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Variables!$X$3:$X$28</c:f>
              <c:numCache>
                <c:formatCode>0.00</c:formatCode>
                <c:ptCount val="26"/>
                <c:pt idx="0">
                  <c:v>0.34201886714042323</c:v>
                </c:pt>
                <c:pt idx="1">
                  <c:v>0.3847519829525276</c:v>
                </c:pt>
                <c:pt idx="2">
                  <c:v>0.40221129653994414</c:v>
                </c:pt>
                <c:pt idx="3">
                  <c:v>0.42331302717900654</c:v>
                </c:pt>
                <c:pt idx="4">
                  <c:v>0.31368876080691671</c:v>
                </c:pt>
                <c:pt idx="5">
                  <c:v>0.51040299291152547</c:v>
                </c:pt>
                <c:pt idx="6">
                  <c:v>0.50185889252093885</c:v>
                </c:pt>
                <c:pt idx="7">
                  <c:v>0.42952362482009626</c:v>
                </c:pt>
                <c:pt idx="8">
                  <c:v>0.46865737933155116</c:v>
                </c:pt>
                <c:pt idx="9">
                  <c:v>0.48853745672234705</c:v>
                </c:pt>
                <c:pt idx="10">
                  <c:v>0.50797430780324981</c:v>
                </c:pt>
                <c:pt idx="11">
                  <c:v>0.56114056941609392</c:v>
                </c:pt>
                <c:pt idx="12">
                  <c:v>0.5843458110094355</c:v>
                </c:pt>
                <c:pt idx="13">
                  <c:v>0.56725987177182569</c:v>
                </c:pt>
                <c:pt idx="14">
                  <c:v>0.54129618663541423</c:v>
                </c:pt>
                <c:pt idx="15">
                  <c:v>0.52185108531565483</c:v>
                </c:pt>
                <c:pt idx="16">
                  <c:v>0.53473432129756959</c:v>
                </c:pt>
                <c:pt idx="17">
                  <c:v>0.63663930899965571</c:v>
                </c:pt>
                <c:pt idx="18">
                  <c:v>0.75000000000000022</c:v>
                </c:pt>
                <c:pt idx="19">
                  <c:v>0.59</c:v>
                </c:pt>
                <c:pt idx="20">
                  <c:v>0.61702536943091912</c:v>
                </c:pt>
                <c:pt idx="21">
                  <c:v>0.53490751762437061</c:v>
                </c:pt>
                <c:pt idx="22">
                  <c:v>0.56330466644866273</c:v>
                </c:pt>
                <c:pt idx="23">
                  <c:v>0.6354646968150176</c:v>
                </c:pt>
                <c:pt idx="24">
                  <c:v>0.54340822237211561</c:v>
                </c:pt>
                <c:pt idx="25">
                  <c:v>0.37829272302441724</c:v>
                </c:pt>
              </c:numCache>
            </c:numRef>
          </c:val>
        </c:ser>
        <c:marker val="1"/>
        <c:axId val="335364864"/>
        <c:axId val="335367168"/>
      </c:lineChart>
      <c:catAx>
        <c:axId val="335364864"/>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3089244851258599"/>
              <c:y val="0.91246684350132601"/>
            </c:manualLayout>
          </c:layout>
          <c:spPr>
            <a:noFill/>
            <a:ln w="25379">
              <a:noFill/>
            </a:ln>
          </c:spPr>
        </c:title>
        <c:numFmt formatCode="General" sourceLinked="1"/>
        <c:tickLblPos val="nextTo"/>
        <c:spPr>
          <a:ln w="3172">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5367168"/>
        <c:crosses val="autoZero"/>
        <c:auto val="1"/>
        <c:lblAlgn val="ctr"/>
        <c:lblOffset val="100"/>
        <c:tickLblSkip val="2"/>
        <c:tickMarkSkip val="1"/>
      </c:catAx>
      <c:valAx>
        <c:axId val="335367168"/>
        <c:scaling>
          <c:orientation val="minMax"/>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Razón</a:t>
                </a:r>
              </a:p>
            </c:rich>
          </c:tx>
          <c:layout>
            <c:manualLayout>
              <c:xMode val="edge"/>
              <c:yMode val="edge"/>
              <c:x val="2.5171624713958809E-2"/>
              <c:y val="0.41644562334217516"/>
            </c:manualLayout>
          </c:layout>
          <c:spPr>
            <a:noFill/>
            <a:ln w="25379">
              <a:noFill/>
            </a:ln>
          </c:spPr>
        </c:title>
        <c:numFmt formatCode="0.00"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5364864"/>
        <c:crosses val="autoZero"/>
        <c:crossBetween val="between"/>
      </c:valAx>
      <c:spPr>
        <a:solidFill>
          <a:srgbClr val="C0C0C0"/>
        </a:solidFill>
        <a:ln w="12689">
          <a:solidFill>
            <a:srgbClr val="808080"/>
          </a:solidFill>
          <a:prstDash val="solid"/>
        </a:ln>
      </c:spPr>
    </c:plotArea>
    <c:legend>
      <c:legendPos val="t"/>
      <c:layout>
        <c:manualLayout>
          <c:xMode val="edge"/>
          <c:yMode val="edge"/>
          <c:x val="0.36842105263157893"/>
          <c:y val="7.9575596816976162E-3"/>
          <c:w val="0.39816933638443947"/>
          <c:h val="6.1007957559681719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083916083916089"/>
          <c:y val="0.11622276029055695"/>
          <c:w val="0.81585081585081609"/>
          <c:h val="0.70702179176755453"/>
        </c:manualLayout>
      </c:layout>
      <c:lineChart>
        <c:grouping val="standard"/>
        <c:ser>
          <c:idx val="0"/>
          <c:order val="0"/>
          <c:tx>
            <c:strRef>
              <c:f>Variables!$Z$2</c:f>
              <c:strCache>
                <c:ptCount val="1"/>
                <c:pt idx="0">
                  <c:v>Participación accionaria</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Variables!$Y$3:$Y$28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Variables!$Z$3:$Z$28</c:f>
              <c:numCache>
                <c:formatCode>0.00</c:formatCode>
                <c:ptCount val="26"/>
                <c:pt idx="0">
                  <c:v>0.25582841156356867</c:v>
                </c:pt>
                <c:pt idx="1">
                  <c:v>0.2778490211165256</c:v>
                </c:pt>
                <c:pt idx="2">
                  <c:v>0.28684071903601777</c:v>
                </c:pt>
                <c:pt idx="3">
                  <c:v>0.29741386405913056</c:v>
                </c:pt>
                <c:pt idx="4">
                  <c:v>0.23878468794559621</c:v>
                </c:pt>
                <c:pt idx="5">
                  <c:v>0.33792504073872898</c:v>
                </c:pt>
                <c:pt idx="6">
                  <c:v>0.3341584852079853</c:v>
                </c:pt>
                <c:pt idx="7">
                  <c:v>0.30048772127764445</c:v>
                </c:pt>
                <c:pt idx="8">
                  <c:v>0.31904662224237995</c:v>
                </c:pt>
                <c:pt idx="9">
                  <c:v>0.32819659826438291</c:v>
                </c:pt>
                <c:pt idx="10">
                  <c:v>0.33684499273449797</c:v>
                </c:pt>
                <c:pt idx="11">
                  <c:v>0.35947633067249435</c:v>
                </c:pt>
                <c:pt idx="12">
                  <c:v>0.36879293351511983</c:v>
                </c:pt>
                <c:pt idx="13">
                  <c:v>0.36195433163790042</c:v>
                </c:pt>
                <c:pt idx="14">
                  <c:v>0.3511764907428403</c:v>
                </c:pt>
                <c:pt idx="15">
                  <c:v>0.34292300306148682</c:v>
                </c:pt>
                <c:pt idx="16">
                  <c:v>0.3484214263518059</c:v>
                </c:pt>
                <c:pt idx="17">
                  <c:v>0.39182143869728964</c:v>
                </c:pt>
                <c:pt idx="18">
                  <c:v>0.42998696311492601</c:v>
                </c:pt>
                <c:pt idx="19">
                  <c:v>0.38000000000000012</c:v>
                </c:pt>
                <c:pt idx="20">
                  <c:v>0.38158043745125947</c:v>
                </c:pt>
                <c:pt idx="21">
                  <c:v>0.3484949493584249</c:v>
                </c:pt>
                <c:pt idx="22">
                  <c:v>0.36032943349000063</c:v>
                </c:pt>
                <c:pt idx="23">
                  <c:v>0.38852750144389542</c:v>
                </c:pt>
                <c:pt idx="24">
                  <c:v>0.35208327550369878</c:v>
                </c:pt>
                <c:pt idx="25">
                  <c:v>0.2744647176213203</c:v>
                </c:pt>
              </c:numCache>
            </c:numRef>
          </c:val>
        </c:ser>
        <c:marker val="1"/>
        <c:axId val="335399168"/>
        <c:axId val="335704832"/>
      </c:lineChart>
      <c:catAx>
        <c:axId val="335399168"/>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3146853146853168"/>
              <c:y val="0.92009685230024241"/>
            </c:manualLayout>
          </c:layout>
          <c:spPr>
            <a:noFill/>
            <a:ln w="25380">
              <a:noFill/>
            </a:ln>
          </c:spPr>
        </c:title>
        <c:numFmt formatCode="General" sourceLinked="1"/>
        <c:tickLblPos val="nextTo"/>
        <c:spPr>
          <a:ln w="3172">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5704832"/>
        <c:crosses val="autoZero"/>
        <c:auto val="1"/>
        <c:lblAlgn val="ctr"/>
        <c:lblOffset val="100"/>
        <c:tickLblSkip val="2"/>
        <c:tickMarkSkip val="1"/>
      </c:catAx>
      <c:valAx>
        <c:axId val="335704832"/>
        <c:scaling>
          <c:orientation val="minMax"/>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Razón</a:t>
                </a:r>
              </a:p>
            </c:rich>
          </c:tx>
          <c:layout>
            <c:manualLayout>
              <c:xMode val="edge"/>
              <c:yMode val="edge"/>
              <c:x val="2.5641025641025654E-2"/>
              <c:y val="0.42372881355932213"/>
            </c:manualLayout>
          </c:layout>
          <c:spPr>
            <a:noFill/>
            <a:ln w="25380">
              <a:noFill/>
            </a:ln>
          </c:spPr>
        </c:title>
        <c:numFmt formatCode="0.00"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5399168"/>
        <c:crosses val="autoZero"/>
        <c:crossBetween val="between"/>
      </c:valAx>
      <c:spPr>
        <a:solidFill>
          <a:srgbClr val="C0C0C0"/>
        </a:solidFill>
        <a:ln w="12690">
          <a:solidFill>
            <a:srgbClr val="808080"/>
          </a:solidFill>
          <a:prstDash val="solid"/>
        </a:ln>
      </c:spPr>
    </c:plotArea>
    <c:legend>
      <c:legendPos val="t"/>
      <c:layout>
        <c:manualLayout>
          <c:xMode val="edge"/>
          <c:yMode val="edge"/>
          <c:x val="0.36829836829836832"/>
          <c:y val="7.2639225181598084E-3"/>
          <c:w val="0.40093240093240107"/>
          <c:h val="5.569007263922518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083916083916089"/>
          <c:y val="0.12339331619537271"/>
          <c:w val="0.81585081585081609"/>
          <c:h val="0.68894601542416489"/>
        </c:manualLayout>
      </c:layout>
      <c:lineChart>
        <c:grouping val="standard"/>
        <c:ser>
          <c:idx val="0"/>
          <c:order val="0"/>
          <c:tx>
            <c:strRef>
              <c:f>Variables!$AB$2</c:f>
              <c:strCache>
                <c:ptCount val="1"/>
                <c:pt idx="0">
                  <c:v>Rendimiento sobre activo</c:v>
                </c:pt>
              </c:strCache>
            </c:strRef>
          </c:tx>
          <c:spPr>
            <a:ln w="12689">
              <a:solidFill>
                <a:srgbClr val="000080"/>
              </a:solidFill>
              <a:prstDash val="solid"/>
            </a:ln>
          </c:spPr>
          <c:marker>
            <c:symbol val="diamond"/>
            <c:size val="4"/>
            <c:spPr>
              <a:solidFill>
                <a:srgbClr val="000080"/>
              </a:solidFill>
              <a:ln>
                <a:solidFill>
                  <a:srgbClr val="000080"/>
                </a:solidFill>
                <a:prstDash val="solid"/>
              </a:ln>
            </c:spPr>
          </c:marker>
          <c:cat>
            <c:numRef>
              <c:f>Variables!$AA$3:$AA$28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Variables!$AB$3:$AB$28</c:f>
              <c:numCache>
                <c:formatCode>0.00</c:formatCode>
                <c:ptCount val="26"/>
                <c:pt idx="0">
                  <c:v>0.87174386073982002</c:v>
                </c:pt>
                <c:pt idx="1">
                  <c:v>0.81458921090878011</c:v>
                </c:pt>
                <c:pt idx="2">
                  <c:v>0.75590965957727052</c:v>
                </c:pt>
                <c:pt idx="3">
                  <c:v>0.83936655308081054</c:v>
                </c:pt>
                <c:pt idx="4">
                  <c:v>0.80436272896786176</c:v>
                </c:pt>
                <c:pt idx="5">
                  <c:v>0.78522542096686576</c:v>
                </c:pt>
                <c:pt idx="6">
                  <c:v>0.79666700918253919</c:v>
                </c:pt>
                <c:pt idx="7">
                  <c:v>0.93686044601860941</c:v>
                </c:pt>
                <c:pt idx="8">
                  <c:v>0.80799288281059223</c:v>
                </c:pt>
                <c:pt idx="9">
                  <c:v>0.82619734885164731</c:v>
                </c:pt>
                <c:pt idx="10">
                  <c:v>0.9329349663414489</c:v>
                </c:pt>
                <c:pt idx="11">
                  <c:v>0.9127614046802438</c:v>
                </c:pt>
                <c:pt idx="12">
                  <c:v>0.88127392728163623</c:v>
                </c:pt>
                <c:pt idx="13">
                  <c:v>0.81472159172734049</c:v>
                </c:pt>
                <c:pt idx="14">
                  <c:v>0.80731970644775386</c:v>
                </c:pt>
                <c:pt idx="15">
                  <c:v>0.96379386649665943</c:v>
                </c:pt>
                <c:pt idx="16">
                  <c:v>0.95879278033125193</c:v>
                </c:pt>
                <c:pt idx="17">
                  <c:v>0.92130613061386823</c:v>
                </c:pt>
                <c:pt idx="18">
                  <c:v>0.79734918195204629</c:v>
                </c:pt>
                <c:pt idx="19">
                  <c:v>0.97125193026221723</c:v>
                </c:pt>
                <c:pt idx="20">
                  <c:v>0.8365645093991797</c:v>
                </c:pt>
                <c:pt idx="21">
                  <c:v>0.84977050582455194</c:v>
                </c:pt>
                <c:pt idx="22">
                  <c:v>0.75084131424170975</c:v>
                </c:pt>
                <c:pt idx="23">
                  <c:v>0.83732546818744569</c:v>
                </c:pt>
                <c:pt idx="24">
                  <c:v>0.79362210551779988</c:v>
                </c:pt>
                <c:pt idx="25">
                  <c:v>0.43102384856013426</c:v>
                </c:pt>
              </c:numCache>
            </c:numRef>
          </c:val>
        </c:ser>
        <c:marker val="1"/>
        <c:axId val="336855040"/>
        <c:axId val="336857344"/>
      </c:lineChart>
      <c:catAx>
        <c:axId val="336855040"/>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3146853146853168"/>
              <c:y val="0.91516709511568128"/>
            </c:manualLayout>
          </c:layout>
          <c:spPr>
            <a:noFill/>
            <a:ln w="25378">
              <a:noFill/>
            </a:ln>
          </c:spPr>
        </c:title>
        <c:numFmt formatCode="General" sourceLinked="1"/>
        <c:tickLblPos val="nextTo"/>
        <c:spPr>
          <a:ln w="3172">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6857344"/>
        <c:crosses val="autoZero"/>
        <c:auto val="1"/>
        <c:lblAlgn val="ctr"/>
        <c:lblOffset val="100"/>
        <c:tickLblSkip val="2"/>
        <c:tickMarkSkip val="1"/>
      </c:catAx>
      <c:valAx>
        <c:axId val="336857344"/>
        <c:scaling>
          <c:orientation val="minMax"/>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Razón</a:t>
                </a:r>
              </a:p>
            </c:rich>
          </c:tx>
          <c:layout>
            <c:manualLayout>
              <c:xMode val="edge"/>
              <c:yMode val="edge"/>
              <c:x val="2.5641025641025654E-2"/>
              <c:y val="0.41902313624678661"/>
            </c:manualLayout>
          </c:layout>
          <c:spPr>
            <a:noFill/>
            <a:ln w="25378">
              <a:noFill/>
            </a:ln>
          </c:spPr>
        </c:title>
        <c:numFmt formatCode="0.00"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6855040"/>
        <c:crosses val="autoZero"/>
        <c:crossBetween val="between"/>
      </c:valAx>
      <c:spPr>
        <a:solidFill>
          <a:srgbClr val="C0C0C0"/>
        </a:solidFill>
        <a:ln w="12689">
          <a:solidFill>
            <a:srgbClr val="808080"/>
          </a:solidFill>
          <a:prstDash val="solid"/>
        </a:ln>
      </c:spPr>
    </c:plotArea>
    <c:legend>
      <c:legendPos val="t"/>
      <c:layout>
        <c:manualLayout>
          <c:xMode val="edge"/>
          <c:yMode val="edge"/>
          <c:x val="0.35664335664335656"/>
          <c:y val="7.7120822622107968E-3"/>
          <c:w val="0.421911421911422"/>
          <c:h val="5.9125964010282792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198237885462562"/>
          <c:y val="0.11294117647058827"/>
          <c:w val="0.82599118942731276"/>
          <c:h val="0.71529411764705908"/>
        </c:manualLayout>
      </c:layout>
      <c:lineChart>
        <c:grouping val="standard"/>
        <c:ser>
          <c:idx val="0"/>
          <c:order val="0"/>
          <c:tx>
            <c:strRef>
              <c:f>Variables!$AD$2</c:f>
              <c:strCache>
                <c:ptCount val="1"/>
                <c:pt idx="0">
                  <c:v>Rendimiento sobre patrimonio</c:v>
                </c:pt>
              </c:strCache>
            </c:strRef>
          </c:tx>
          <c:spPr>
            <a:ln w="12691">
              <a:solidFill>
                <a:srgbClr val="000080"/>
              </a:solidFill>
              <a:prstDash val="solid"/>
            </a:ln>
          </c:spPr>
          <c:marker>
            <c:symbol val="diamond"/>
            <c:size val="4"/>
            <c:spPr>
              <a:solidFill>
                <a:srgbClr val="000080"/>
              </a:solidFill>
              <a:ln>
                <a:solidFill>
                  <a:srgbClr val="000080"/>
                </a:solidFill>
                <a:prstDash val="solid"/>
              </a:ln>
            </c:spPr>
          </c:marker>
          <c:cat>
            <c:numRef>
              <c:f>Variables!$AC$3:$AC$28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Variables!$AD$3:$AD$28</c:f>
              <c:numCache>
                <c:formatCode>0.00</c:formatCode>
                <c:ptCount val="26"/>
                <c:pt idx="0">
                  <c:v>3.4075334143377884</c:v>
                </c:pt>
                <c:pt idx="1">
                  <c:v>2.9317692307692296</c:v>
                </c:pt>
                <c:pt idx="2">
                  <c:v>2.6352941176470592</c:v>
                </c:pt>
                <c:pt idx="3">
                  <c:v>2.8222173022637969</c:v>
                </c:pt>
                <c:pt idx="4">
                  <c:v>3.368569131832797</c:v>
                </c:pt>
                <c:pt idx="5">
                  <c:v>2.3236674596540849</c:v>
                </c:pt>
                <c:pt idx="6">
                  <c:v>2.3840992955384097</c:v>
                </c:pt>
                <c:pt idx="7">
                  <c:v>3.1177994296577944</c:v>
                </c:pt>
                <c:pt idx="8">
                  <c:v>2.5325229182234041</c:v>
                </c:pt>
                <c:pt idx="9">
                  <c:v>2.5173854732829808</c:v>
                </c:pt>
                <c:pt idx="10">
                  <c:v>2.769626939584021</c:v>
                </c:pt>
                <c:pt idx="11">
                  <c:v>2.5391418761081868</c:v>
                </c:pt>
                <c:pt idx="12">
                  <c:v>2.3896171731975597</c:v>
                </c:pt>
                <c:pt idx="13">
                  <c:v>2.2508960952079162</c:v>
                </c:pt>
                <c:pt idx="14">
                  <c:v>2.2989002046806686</c:v>
                </c:pt>
                <c:pt idx="15">
                  <c:v>2.8105255637337598</c:v>
                </c:pt>
                <c:pt idx="16">
                  <c:v>2.7518192275670978</c:v>
                </c:pt>
                <c:pt idx="17">
                  <c:v>2.3513418093634333</c:v>
                </c:pt>
                <c:pt idx="18">
                  <c:v>1.8543566441546588</c:v>
                </c:pt>
                <c:pt idx="19">
                  <c:v>2.5299999999999998</c:v>
                </c:pt>
                <c:pt idx="20">
                  <c:v>2.1923673943741857</c:v>
                </c:pt>
                <c:pt idx="21">
                  <c:v>2.4384012089385232</c:v>
                </c:pt>
                <c:pt idx="22">
                  <c:v>2.0837634799060782</c:v>
                </c:pt>
                <c:pt idx="23">
                  <c:v>2.1551253516821092</c:v>
                </c:pt>
                <c:pt idx="24">
                  <c:v>2.254074989453632</c:v>
                </c:pt>
                <c:pt idx="25">
                  <c:v>1.5704162352656899</c:v>
                </c:pt>
              </c:numCache>
            </c:numRef>
          </c:val>
        </c:ser>
        <c:marker val="1"/>
        <c:axId val="336082432"/>
        <c:axId val="336089088"/>
      </c:lineChart>
      <c:catAx>
        <c:axId val="336082432"/>
        <c:scaling>
          <c:orientation val="minMax"/>
        </c:scaling>
        <c:axPos val="b"/>
        <c:title>
          <c:tx>
            <c:rich>
              <a:bodyPr/>
              <a:lstStyle/>
              <a:p>
                <a:pPr>
                  <a:defRPr sz="924" b="1" i="0" u="none" strike="noStrike" baseline="0">
                    <a:solidFill>
                      <a:srgbClr val="000000"/>
                    </a:solidFill>
                    <a:latin typeface="Arial"/>
                    <a:ea typeface="Arial"/>
                    <a:cs typeface="Arial"/>
                  </a:defRPr>
                </a:pPr>
                <a:r>
                  <a:t>Años</a:t>
                </a:r>
              </a:p>
            </c:rich>
          </c:tx>
          <c:layout>
            <c:manualLayout>
              <c:xMode val="edge"/>
              <c:yMode val="edge"/>
              <c:x val="0.5286343612334804"/>
              <c:y val="0.92235294117647049"/>
            </c:manualLayout>
          </c:layout>
          <c:spPr>
            <a:noFill/>
            <a:ln w="25381">
              <a:noFill/>
            </a:ln>
          </c:spPr>
        </c:title>
        <c:numFmt formatCode="General" sourceLinked="1"/>
        <c:tickLblPos val="nextTo"/>
        <c:spPr>
          <a:ln w="3173">
            <a:solidFill>
              <a:srgbClr val="000000"/>
            </a:solidFill>
            <a:prstDash val="solid"/>
          </a:ln>
        </c:spPr>
        <c:txPr>
          <a:bodyPr rot="-5400000" vert="horz"/>
          <a:lstStyle/>
          <a:p>
            <a:pPr>
              <a:defRPr sz="924" b="0" i="0" u="none" strike="noStrike" baseline="0">
                <a:solidFill>
                  <a:srgbClr val="000000"/>
                </a:solidFill>
                <a:latin typeface="Arial"/>
                <a:ea typeface="Arial"/>
                <a:cs typeface="Arial"/>
              </a:defRPr>
            </a:pPr>
            <a:endParaRPr lang="es-ES"/>
          </a:p>
        </c:txPr>
        <c:crossAx val="336089088"/>
        <c:crosses val="autoZero"/>
        <c:auto val="1"/>
        <c:lblAlgn val="ctr"/>
        <c:lblOffset val="100"/>
        <c:tickLblSkip val="2"/>
        <c:tickMarkSkip val="1"/>
      </c:catAx>
      <c:valAx>
        <c:axId val="336089088"/>
        <c:scaling>
          <c:orientation val="minMax"/>
        </c:scaling>
        <c:axPos val="l"/>
        <c:majorGridlines>
          <c:spPr>
            <a:ln w="3173">
              <a:solidFill>
                <a:srgbClr val="000000"/>
              </a:solidFill>
              <a:prstDash val="solid"/>
            </a:ln>
          </c:spPr>
        </c:majorGridlines>
        <c:title>
          <c:tx>
            <c:rich>
              <a:bodyPr/>
              <a:lstStyle/>
              <a:p>
                <a:pPr>
                  <a:defRPr sz="924" b="1" i="0" u="none" strike="noStrike" baseline="0">
                    <a:solidFill>
                      <a:srgbClr val="000000"/>
                    </a:solidFill>
                    <a:latin typeface="Arial"/>
                    <a:ea typeface="Arial"/>
                    <a:cs typeface="Arial"/>
                  </a:defRPr>
                </a:pPr>
                <a:r>
                  <a:t>Razón</a:t>
                </a:r>
              </a:p>
            </c:rich>
          </c:tx>
          <c:layout>
            <c:manualLayout>
              <c:xMode val="edge"/>
              <c:yMode val="edge"/>
              <c:x val="2.4229074889867842E-2"/>
              <c:y val="0.4258823529411766"/>
            </c:manualLayout>
          </c:layout>
          <c:spPr>
            <a:noFill/>
            <a:ln w="25381">
              <a:noFill/>
            </a:ln>
          </c:spPr>
        </c:title>
        <c:numFmt formatCode="0.00" sourceLinked="1"/>
        <c:tickLblPos val="nextTo"/>
        <c:spPr>
          <a:ln w="3173">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336082432"/>
        <c:crosses val="autoZero"/>
        <c:crossBetween val="between"/>
      </c:valAx>
      <c:spPr>
        <a:solidFill>
          <a:srgbClr val="C0C0C0"/>
        </a:solidFill>
        <a:ln w="12691">
          <a:solidFill>
            <a:srgbClr val="808080"/>
          </a:solidFill>
          <a:prstDash val="solid"/>
        </a:ln>
      </c:spPr>
    </c:plotArea>
    <c:legend>
      <c:legendPos val="t"/>
      <c:layout>
        <c:manualLayout>
          <c:xMode val="edge"/>
          <c:yMode val="edge"/>
          <c:x val="0.33480176211453766"/>
          <c:y val="7.0588235294117684E-3"/>
          <c:w val="0.46035242290748912"/>
          <c:h val="5.4117647058823576E-2"/>
        </c:manualLayout>
      </c:layout>
      <c:spPr>
        <a:solidFill>
          <a:srgbClr val="FFFFFF"/>
        </a:soli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2196796338672775"/>
          <c:y val="9.125475285171103E-2"/>
          <c:w val="0.75514874141876454"/>
          <c:h val="0.76996197718631199"/>
        </c:manualLayout>
      </c:layout>
      <c:lineChart>
        <c:grouping val="standard"/>
        <c:ser>
          <c:idx val="0"/>
          <c:order val="0"/>
          <c:tx>
            <c:strRef>
              <c:f>Variables!$AF$2</c:f>
              <c:strCache>
                <c:ptCount val="1"/>
                <c:pt idx="0">
                  <c:v>Pib</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Variables!$AE$3:$AE$28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Variables!$AF$3:$AF$28</c:f>
              <c:numCache>
                <c:formatCode>0.00</c:formatCode>
                <c:ptCount val="26"/>
                <c:pt idx="0">
                  <c:v>3020.9027595816292</c:v>
                </c:pt>
                <c:pt idx="1">
                  <c:v>3691.1658348924461</c:v>
                </c:pt>
                <c:pt idx="2">
                  <c:v>4496.6242417213743</c:v>
                </c:pt>
                <c:pt idx="3">
                  <c:v>5391.1346333285774</c:v>
                </c:pt>
                <c:pt idx="4">
                  <c:v>6294.9300653979226</c:v>
                </c:pt>
                <c:pt idx="5">
                  <c:v>7693.0179293420679</c:v>
                </c:pt>
                <c:pt idx="6">
                  <c:v>9376.8646274926141</c:v>
                </c:pt>
                <c:pt idx="7">
                  <c:v>9733.2146907441311</c:v>
                </c:pt>
                <c:pt idx="8">
                  <c:v>8686.7062494056172</c:v>
                </c:pt>
                <c:pt idx="9">
                  <c:v>4452.9608162640025</c:v>
                </c:pt>
                <c:pt idx="10">
                  <c:v>6276.0346514955691</c:v>
                </c:pt>
                <c:pt idx="11">
                  <c:v>7393.1862630530804</c:v>
                </c:pt>
                <c:pt idx="12">
                  <c:v>7373.0887420677973</c:v>
                </c:pt>
                <c:pt idx="13">
                  <c:v>7068.1716802604324</c:v>
                </c:pt>
                <c:pt idx="14">
                  <c:v>4149.7741051583207</c:v>
                </c:pt>
                <c:pt idx="15">
                  <c:v>5122.1654365170261</c:v>
                </c:pt>
                <c:pt idx="16">
                  <c:v>6666.648139671961</c:v>
                </c:pt>
                <c:pt idx="17">
                  <c:v>7471.290875416119</c:v>
                </c:pt>
                <c:pt idx="18">
                  <c:v>7857.5351284777198</c:v>
                </c:pt>
                <c:pt idx="19">
                  <c:v>9537.4487211685246</c:v>
                </c:pt>
                <c:pt idx="20">
                  <c:v>13040.65227728719</c:v>
                </c:pt>
                <c:pt idx="21">
                  <c:v>14589.03851774121</c:v>
                </c:pt>
                <c:pt idx="22">
                  <c:v>15303.049606078426</c:v>
                </c:pt>
                <c:pt idx="23">
                  <c:v>15038.399111230756</c:v>
                </c:pt>
                <c:pt idx="24">
                  <c:v>14143.540792071377</c:v>
                </c:pt>
                <c:pt idx="25">
                  <c:v>9860.9187988606991</c:v>
                </c:pt>
              </c:numCache>
            </c:numRef>
          </c:val>
        </c:ser>
        <c:marker val="1"/>
        <c:axId val="336116736"/>
        <c:axId val="336426496"/>
      </c:lineChart>
      <c:catAx>
        <c:axId val="336116736"/>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6292906178489721"/>
              <c:y val="0.93726235741444852"/>
            </c:manualLayout>
          </c:layout>
          <c:spPr>
            <a:noFill/>
            <a:ln w="25381">
              <a:noFill/>
            </a:ln>
          </c:spPr>
        </c:title>
        <c:numFmt formatCode="General" sourceLinked="1"/>
        <c:tickLblPos val="nextTo"/>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6426496"/>
        <c:crosses val="autoZero"/>
        <c:auto val="1"/>
        <c:lblAlgn val="ctr"/>
        <c:lblOffset val="100"/>
        <c:tickLblSkip val="2"/>
        <c:tickMarkSkip val="1"/>
      </c:catAx>
      <c:valAx>
        <c:axId val="336426496"/>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2.5171624713958809E-2"/>
              <c:y val="0.36692015209125489"/>
            </c:manualLayout>
          </c:layout>
          <c:spPr>
            <a:noFill/>
            <a:ln w="25381">
              <a:noFill/>
            </a:ln>
          </c:spPr>
        </c:title>
        <c:numFmt formatCode="0.00"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6116736"/>
        <c:crosses val="autoZero"/>
        <c:crossBetween val="between"/>
      </c:valAx>
      <c:spPr>
        <a:solidFill>
          <a:srgbClr val="C0C0C0"/>
        </a:solidFill>
        <a:ln w="12690">
          <a:solidFill>
            <a:srgbClr val="808080"/>
          </a:solidFill>
          <a:prstDash val="solid"/>
        </a:ln>
      </c:spPr>
    </c:plotArea>
    <c:legend>
      <c:legendPos val="t"/>
      <c:layout>
        <c:manualLayout>
          <c:xMode val="edge"/>
          <c:yMode val="edge"/>
          <c:x val="0.53089244851258599"/>
          <c:y val="5.7034220532319411E-3"/>
          <c:w val="0.13501144164759732"/>
          <c:h val="4.3726235741444887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1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859030837004412"/>
          <c:y val="8.0373831775700913E-2"/>
          <c:w val="0.81938325991189431"/>
          <c:h val="0.7831775700934579"/>
        </c:manualLayout>
      </c:layout>
      <c:bar3DChart>
        <c:barDir val="col"/>
        <c:grouping val="clustered"/>
        <c:ser>
          <c:idx val="0"/>
          <c:order val="0"/>
          <c:tx>
            <c:strRef>
              <c:f>Variables!$AN$2:$AN$3</c:f>
              <c:strCache>
                <c:ptCount val="1"/>
                <c:pt idx="0">
                  <c:v>Pib</c:v>
                </c:pt>
              </c:strCache>
            </c:strRef>
          </c:tx>
          <c:spPr>
            <a:solidFill>
              <a:srgbClr val="9999FF"/>
            </a:solidFill>
            <a:ln w="12700">
              <a:solidFill>
                <a:srgbClr val="000000"/>
              </a:solidFill>
              <a:prstDash val="solid"/>
            </a:ln>
          </c:spPr>
          <c:cat>
            <c:numRef>
              <c:f>Variables!$AM$4:$AM$28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Variables!$AN$4:$AN$28</c:f>
              <c:numCache>
                <c:formatCode>0.00</c:formatCode>
                <c:ptCount val="25"/>
                <c:pt idx="0">
                  <c:v>0.22187509120738597</c:v>
                </c:pt>
                <c:pt idx="1">
                  <c:v>0.21821246805411937</c:v>
                </c:pt>
                <c:pt idx="2">
                  <c:v>0.19892931753282883</c:v>
                </c:pt>
                <c:pt idx="3">
                  <c:v>0.16764475264297524</c:v>
                </c:pt>
                <c:pt idx="4">
                  <c:v>0.22209744181737281</c:v>
                </c:pt>
                <c:pt idx="5">
                  <c:v>0.21887986140369725</c:v>
                </c:pt>
                <c:pt idx="6">
                  <c:v>3.8003114837203499E-2</c:v>
                </c:pt>
                <c:pt idx="7">
                  <c:v>-0.10751930113425921</c:v>
                </c:pt>
                <c:pt idx="8">
                  <c:v>-0.48738213444610312</c:v>
                </c:pt>
                <c:pt idx="9">
                  <c:v>0.40940711370577626</c:v>
                </c:pt>
                <c:pt idx="10">
                  <c:v>0.1780027793969069</c:v>
                </c:pt>
                <c:pt idx="11">
                  <c:v>-2.7183842351861955E-3</c:v>
                </c:pt>
                <c:pt idx="12">
                  <c:v>-4.1355403749263754E-2</c:v>
                </c:pt>
                <c:pt idx="13">
                  <c:v>-0.41289285364310518</c:v>
                </c:pt>
                <c:pt idx="14">
                  <c:v>0.2343239190176607</c:v>
                </c:pt>
                <c:pt idx="15">
                  <c:v>0.30152925013783871</c:v>
                </c:pt>
                <c:pt idx="16">
                  <c:v>0.12069674578381998</c:v>
                </c:pt>
                <c:pt idx="17">
                  <c:v>5.1697124299164024E-2</c:v>
                </c:pt>
                <c:pt idx="18">
                  <c:v>0.21379651063886079</c:v>
                </c:pt>
                <c:pt idx="19">
                  <c:v>0.36731034247589217</c:v>
                </c:pt>
                <c:pt idx="20">
                  <c:v>0.11873533681676557</c:v>
                </c:pt>
                <c:pt idx="21">
                  <c:v>4.8941613764946393E-2</c:v>
                </c:pt>
                <c:pt idx="22">
                  <c:v>-1.7293970918224474E-2</c:v>
                </c:pt>
                <c:pt idx="23">
                  <c:v>-5.9504892278799876E-2</c:v>
                </c:pt>
                <c:pt idx="24">
                  <c:v>-0.30279701923095798</c:v>
                </c:pt>
              </c:numCache>
            </c:numRef>
          </c:val>
        </c:ser>
        <c:shape val="box"/>
        <c:axId val="337688064"/>
        <c:axId val="337689984"/>
        <c:axId val="0"/>
      </c:bar3DChart>
      <c:catAx>
        <c:axId val="337688064"/>
        <c:scaling>
          <c:orientation val="minMax"/>
        </c:scaling>
        <c:axPos val="b"/>
        <c:title>
          <c:tx>
            <c:rich>
              <a:bodyPr/>
              <a:lstStyle/>
              <a:p>
                <a:pPr>
                  <a:defRPr sz="925" b="1" i="0" u="none" strike="noStrike" baseline="0">
                    <a:solidFill>
                      <a:srgbClr val="000000"/>
                    </a:solidFill>
                    <a:latin typeface="Arial"/>
                    <a:ea typeface="Arial"/>
                    <a:cs typeface="Arial"/>
                  </a:defRPr>
                </a:pPr>
                <a:r>
                  <a:t>Años</a:t>
                </a:r>
              </a:p>
            </c:rich>
          </c:tx>
          <c:layout>
            <c:manualLayout>
              <c:xMode val="edge"/>
              <c:yMode val="edge"/>
              <c:x val="0.53083700440528658"/>
              <c:y val="0.92336448598130816"/>
            </c:manualLayout>
          </c:layout>
          <c:spPr>
            <a:noFill/>
            <a:ln w="25400">
              <a:noFill/>
            </a:ln>
          </c:spPr>
        </c:title>
        <c:numFmt formatCode="General" sourceLinked="1"/>
        <c:tickLblPos val="low"/>
        <c:spPr>
          <a:ln w="3175">
            <a:solidFill>
              <a:srgbClr val="000000"/>
            </a:solidFill>
            <a:prstDash val="solid"/>
          </a:ln>
        </c:spPr>
        <c:txPr>
          <a:bodyPr rot="-5400000" vert="horz"/>
          <a:lstStyle/>
          <a:p>
            <a:pPr>
              <a:defRPr sz="925" b="0" i="0" u="none" strike="noStrike" baseline="0">
                <a:solidFill>
                  <a:srgbClr val="000000"/>
                </a:solidFill>
                <a:latin typeface="Arial"/>
                <a:ea typeface="Arial"/>
                <a:cs typeface="Arial"/>
              </a:defRPr>
            </a:pPr>
            <a:endParaRPr lang="es-ES"/>
          </a:p>
        </c:txPr>
        <c:crossAx val="337689984"/>
        <c:crosses val="autoZero"/>
        <c:auto val="1"/>
        <c:lblAlgn val="ctr"/>
        <c:lblOffset val="100"/>
        <c:tickLblSkip val="2"/>
        <c:tickMarkSkip val="1"/>
      </c:catAx>
      <c:valAx>
        <c:axId val="337689984"/>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Variación</a:t>
                </a:r>
              </a:p>
            </c:rich>
          </c:tx>
          <c:layout>
            <c:manualLayout>
              <c:xMode val="edge"/>
              <c:yMode val="edge"/>
              <c:x val="2.6431718061674041E-2"/>
              <c:y val="0.42242990654205631"/>
            </c:manualLayout>
          </c:layout>
          <c:spPr>
            <a:noFill/>
            <a:ln w="25400">
              <a:noFill/>
            </a:ln>
          </c:spPr>
        </c:title>
        <c:numFmt formatCode="0.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37688064"/>
        <c:crosses val="autoZero"/>
        <c:crossBetween val="between"/>
      </c:valAx>
      <c:spPr>
        <a:noFill/>
        <a:ln w="25400">
          <a:noFill/>
        </a:ln>
      </c:spPr>
    </c:plotArea>
    <c:legend>
      <c:legendPos val="t"/>
      <c:layout>
        <c:manualLayout>
          <c:xMode val="edge"/>
          <c:yMode val="edge"/>
          <c:x val="0.45594713656387664"/>
          <c:y val="5.6074766355140183E-3"/>
          <c:w val="8.8105726872246728E-2"/>
          <c:h val="4.2990654205607499E-2"/>
        </c:manualLayout>
      </c:layou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955156950672645"/>
          <c:y val="0.12098765432098765"/>
          <c:w val="0.77578475336322894"/>
          <c:h val="0.70123456790123428"/>
        </c:manualLayout>
      </c:layout>
      <c:lineChart>
        <c:grouping val="standard"/>
        <c:ser>
          <c:idx val="0"/>
          <c:order val="0"/>
          <c:tx>
            <c:strRef>
              <c:f>Variables!$AJ$2</c:f>
              <c:strCache>
                <c:ptCount val="1"/>
                <c:pt idx="0">
                  <c:v>Deuda privada</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Variables!$AI$3:$AI$28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Variables!$AJ$3:$AJ$28</c:f>
              <c:numCache>
                <c:formatCode>0.00</c:formatCode>
                <c:ptCount val="26"/>
                <c:pt idx="0">
                  <c:v>26.725332029658592</c:v>
                </c:pt>
                <c:pt idx="1">
                  <c:v>48.712836959348174</c:v>
                </c:pt>
                <c:pt idx="2">
                  <c:v>51.836439297991674</c:v>
                </c:pt>
                <c:pt idx="3">
                  <c:v>79.613885936946488</c:v>
                </c:pt>
                <c:pt idx="4">
                  <c:v>436.83422836517303</c:v>
                </c:pt>
                <c:pt idx="5">
                  <c:v>641.44945963127782</c:v>
                </c:pt>
                <c:pt idx="6">
                  <c:v>951.15886688571129</c:v>
                </c:pt>
                <c:pt idx="7">
                  <c:v>1266.945825700079</c:v>
                </c:pt>
                <c:pt idx="8">
                  <c:v>1399.7765171050373</c:v>
                </c:pt>
                <c:pt idx="9">
                  <c:v>767.10020890895612</c:v>
                </c:pt>
                <c:pt idx="10">
                  <c:v>173.170731707317</c:v>
                </c:pt>
                <c:pt idx="11">
                  <c:v>121.31864698070464</c:v>
                </c:pt>
                <c:pt idx="12">
                  <c:v>69.257031377011842</c:v>
                </c:pt>
                <c:pt idx="13">
                  <c:v>75.675675675675649</c:v>
                </c:pt>
                <c:pt idx="14">
                  <c:v>75.396574606585318</c:v>
                </c:pt>
                <c:pt idx="15">
                  <c:v>90.075727381426816</c:v>
                </c:pt>
                <c:pt idx="16">
                  <c:v>110.08618367896582</c:v>
                </c:pt>
                <c:pt idx="17">
                  <c:v>111.55190962883273</c:v>
                </c:pt>
                <c:pt idx="18">
                  <c:v>164.80175926524799</c:v>
                </c:pt>
                <c:pt idx="19">
                  <c:v>401.90717524673238</c:v>
                </c:pt>
                <c:pt idx="20">
                  <c:v>650.69515356217153</c:v>
                </c:pt>
                <c:pt idx="21">
                  <c:v>1265.028878223379</c:v>
                </c:pt>
                <c:pt idx="22">
                  <c:v>1574.1619101213919</c:v>
                </c:pt>
                <c:pt idx="23">
                  <c:v>1929.6324655436447</c:v>
                </c:pt>
                <c:pt idx="24">
                  <c:v>2321.4548126377672</c:v>
                </c:pt>
                <c:pt idx="25">
                  <c:v>1662.2207621550597</c:v>
                </c:pt>
              </c:numCache>
            </c:numRef>
          </c:val>
        </c:ser>
        <c:marker val="1"/>
        <c:axId val="337705600"/>
        <c:axId val="338273408"/>
      </c:lineChart>
      <c:catAx>
        <c:axId val="337705600"/>
        <c:scaling>
          <c:orientation val="minMax"/>
        </c:scaling>
        <c:axPos val="b"/>
        <c:title>
          <c:tx>
            <c:rich>
              <a:bodyPr/>
              <a:lstStyle/>
              <a:p>
                <a:pPr>
                  <a:defRPr sz="899" b="1" i="0" u="none" strike="noStrike" baseline="0">
                    <a:solidFill>
                      <a:srgbClr val="000000"/>
                    </a:solidFill>
                    <a:latin typeface="Arial"/>
                    <a:ea typeface="Arial"/>
                    <a:cs typeface="Arial"/>
                  </a:defRPr>
                </a:pPr>
                <a:r>
                  <a:t>Años</a:t>
                </a:r>
              </a:p>
            </c:rich>
          </c:tx>
          <c:layout>
            <c:manualLayout>
              <c:xMode val="edge"/>
              <c:yMode val="edge"/>
              <c:x val="0.59865470852017955"/>
              <c:y val="0.92098765432098761"/>
            </c:manualLayout>
          </c:layout>
          <c:spPr>
            <a:noFill/>
            <a:ln w="25380">
              <a:noFill/>
            </a:ln>
          </c:spPr>
        </c:title>
        <c:numFmt formatCode="General" sourceLinked="1"/>
        <c:tickLblPos val="nextTo"/>
        <c:spPr>
          <a:ln w="3172">
            <a:solidFill>
              <a:srgbClr val="000000"/>
            </a:solidFill>
            <a:prstDash val="solid"/>
          </a:ln>
        </c:spPr>
        <c:txPr>
          <a:bodyPr rot="-5400000" vert="horz"/>
          <a:lstStyle/>
          <a:p>
            <a:pPr>
              <a:defRPr sz="899" b="0" i="0" u="none" strike="noStrike" baseline="0">
                <a:solidFill>
                  <a:srgbClr val="000000"/>
                </a:solidFill>
                <a:latin typeface="Arial"/>
                <a:ea typeface="Arial"/>
                <a:cs typeface="Arial"/>
              </a:defRPr>
            </a:pPr>
            <a:endParaRPr lang="es-ES"/>
          </a:p>
        </c:txPr>
        <c:crossAx val="338273408"/>
        <c:crosses val="autoZero"/>
        <c:auto val="1"/>
        <c:lblAlgn val="ctr"/>
        <c:lblOffset val="100"/>
        <c:tickLblSkip val="2"/>
        <c:tickMarkSkip val="1"/>
      </c:catAx>
      <c:valAx>
        <c:axId val="338273408"/>
        <c:scaling>
          <c:orientation val="minMax"/>
        </c:scaling>
        <c:axPos val="l"/>
        <c:majorGridlines>
          <c:spPr>
            <a:ln w="3172">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t>Millones de dólares</a:t>
                </a:r>
              </a:p>
            </c:rich>
          </c:tx>
          <c:layout>
            <c:manualLayout>
              <c:xMode val="edge"/>
              <c:yMode val="edge"/>
              <c:x val="2.2421524663677139E-2"/>
              <c:y val="0.33086419753086449"/>
            </c:manualLayout>
          </c:layout>
          <c:spPr>
            <a:noFill/>
            <a:ln w="25380">
              <a:noFill/>
            </a:ln>
          </c:spPr>
        </c:title>
        <c:numFmt formatCode="0.00"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37705600"/>
        <c:crosses val="autoZero"/>
        <c:crossBetween val="between"/>
      </c:valAx>
      <c:spPr>
        <a:solidFill>
          <a:srgbClr val="C0C0C0"/>
        </a:solidFill>
        <a:ln w="12690">
          <a:solidFill>
            <a:srgbClr val="808080"/>
          </a:solidFill>
          <a:prstDash val="solid"/>
        </a:ln>
      </c:spPr>
    </c:plotArea>
    <c:legend>
      <c:legendPos val="t"/>
      <c:layout>
        <c:manualLayout>
          <c:xMode val="edge"/>
          <c:yMode val="edge"/>
          <c:x val="0.42600896860986576"/>
          <c:y val="9.8765432098765534E-3"/>
          <c:w val="0.27130044843049328"/>
          <c:h val="5.6790123456790124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0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143497757847539"/>
          <c:y val="8.995815899581594E-2"/>
          <c:w val="0.81614349775784767"/>
          <c:h val="0.75732217573221727"/>
        </c:manualLayout>
      </c:layout>
      <c:bar3DChart>
        <c:barDir val="col"/>
        <c:grouping val="clustered"/>
        <c:ser>
          <c:idx val="0"/>
          <c:order val="0"/>
          <c:tx>
            <c:strRef>
              <c:f>Variables!$AR$2:$AR$3</c:f>
              <c:strCache>
                <c:ptCount val="1"/>
                <c:pt idx="0">
                  <c:v>Deuda privada</c:v>
                </c:pt>
              </c:strCache>
            </c:strRef>
          </c:tx>
          <c:spPr>
            <a:solidFill>
              <a:srgbClr val="9999FF"/>
            </a:solidFill>
            <a:ln w="12700">
              <a:solidFill>
                <a:srgbClr val="000000"/>
              </a:solidFill>
              <a:prstDash val="solid"/>
            </a:ln>
          </c:spPr>
          <c:cat>
            <c:numRef>
              <c:f>Variables!$AQ$4:$AQ$28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Variables!$AR$4:$AR$28</c:f>
              <c:numCache>
                <c:formatCode>0.00</c:formatCode>
                <c:ptCount val="25"/>
                <c:pt idx="0">
                  <c:v>0.82272148781122079</c:v>
                </c:pt>
                <c:pt idx="1">
                  <c:v>6.4122776122651104E-2</c:v>
                </c:pt>
                <c:pt idx="2">
                  <c:v>0.53586718175742865</c:v>
                </c:pt>
                <c:pt idx="3">
                  <c:v>4.486910018575677</c:v>
                </c:pt>
                <c:pt idx="4">
                  <c:v>0.46840475855535751</c:v>
                </c:pt>
                <c:pt idx="5">
                  <c:v>0.4828274505562184</c:v>
                </c:pt>
                <c:pt idx="6">
                  <c:v>0.3320023287469504</c:v>
                </c:pt>
                <c:pt idx="7">
                  <c:v>0.10484322905563867</c:v>
                </c:pt>
                <c:pt idx="8">
                  <c:v>-0.45198379917428355</c:v>
                </c:pt>
                <c:pt idx="9">
                  <c:v>-0.77425279031846839</c:v>
                </c:pt>
                <c:pt idx="10">
                  <c:v>-0.29942753151987478</c:v>
                </c:pt>
                <c:pt idx="11">
                  <c:v>-0.42913119210745082</c:v>
                </c:pt>
                <c:pt idx="12">
                  <c:v>9.2678594087044777E-2</c:v>
                </c:pt>
                <c:pt idx="13">
                  <c:v>-3.6881212701222283E-3</c:v>
                </c:pt>
                <c:pt idx="14">
                  <c:v>0.1946925686138451</c:v>
                </c:pt>
                <c:pt idx="15">
                  <c:v>0.22215148163949208</c:v>
                </c:pt>
                <c:pt idx="16">
                  <c:v>1.3314349729310901E-2</c:v>
                </c:pt>
                <c:pt idx="17">
                  <c:v>0.47735489077321841</c:v>
                </c:pt>
                <c:pt idx="18">
                  <c:v>1.4387310975234413</c:v>
                </c:pt>
                <c:pt idx="19">
                  <c:v>0.61901850386897572</c:v>
                </c:pt>
                <c:pt idx="20">
                  <c:v>0.94411910292875889</c:v>
                </c:pt>
                <c:pt idx="21">
                  <c:v>0.24436835966319076</c:v>
                </c:pt>
                <c:pt idx="22">
                  <c:v>0.22581575194818432</c:v>
                </c:pt>
                <c:pt idx="23">
                  <c:v>0.20305542847701394</c:v>
                </c:pt>
                <c:pt idx="24">
                  <c:v>-0.28397453480201446</c:v>
                </c:pt>
              </c:numCache>
            </c:numRef>
          </c:val>
        </c:ser>
        <c:shape val="box"/>
        <c:axId val="338437248"/>
        <c:axId val="338439168"/>
        <c:axId val="0"/>
      </c:bar3DChart>
      <c:catAx>
        <c:axId val="338437248"/>
        <c:scaling>
          <c:orientation val="minMax"/>
        </c:scaling>
        <c:axPos val="b"/>
        <c:title>
          <c:tx>
            <c:rich>
              <a:bodyPr/>
              <a:lstStyle/>
              <a:p>
                <a:pPr>
                  <a:defRPr sz="900" b="1" i="0" u="none" strike="noStrike" baseline="0">
                    <a:solidFill>
                      <a:srgbClr val="000000"/>
                    </a:solidFill>
                    <a:latin typeface="Arial"/>
                    <a:ea typeface="Arial"/>
                    <a:cs typeface="Arial"/>
                  </a:defRPr>
                </a:pPr>
                <a:r>
                  <a:t>Años</a:t>
                </a:r>
              </a:p>
            </c:rich>
          </c:tx>
          <c:layout>
            <c:manualLayout>
              <c:xMode val="edge"/>
              <c:yMode val="edge"/>
              <c:x val="0.53139013452914818"/>
              <c:y val="0.91841004184100383"/>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s-ES"/>
          </a:p>
        </c:txPr>
        <c:crossAx val="338439168"/>
        <c:crosses val="autoZero"/>
        <c:auto val="1"/>
        <c:lblAlgn val="ctr"/>
        <c:lblOffset val="100"/>
        <c:tickLblSkip val="2"/>
        <c:tickMarkSkip val="1"/>
      </c:catAx>
      <c:valAx>
        <c:axId val="338439168"/>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Variación</a:t>
                </a:r>
              </a:p>
            </c:rich>
          </c:tx>
          <c:layout>
            <c:manualLayout>
              <c:xMode val="edge"/>
              <c:yMode val="edge"/>
              <c:x val="3.1390134529147982E-2"/>
              <c:y val="0.41213389121338911"/>
            </c:manualLayout>
          </c:layout>
          <c:spPr>
            <a:noFill/>
            <a:ln w="25399">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338437248"/>
        <c:crosses val="autoZero"/>
        <c:crossBetween val="between"/>
      </c:valAx>
      <c:spPr>
        <a:noFill/>
        <a:ln w="25399">
          <a:noFill/>
        </a:ln>
      </c:spPr>
    </c:plotArea>
    <c:legend>
      <c:legendPos val="t"/>
      <c:layout>
        <c:manualLayout>
          <c:xMode val="edge"/>
          <c:yMode val="edge"/>
          <c:x val="0.38565022421524686"/>
          <c:y val="6.2761506276150644E-3"/>
          <c:w val="0.22869955156950672"/>
          <c:h val="4.8117154811715496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1510297482837529"/>
          <c:y val="0.10300429184549356"/>
          <c:w val="0.76201372997711658"/>
          <c:h val="0.80257510729613735"/>
        </c:manualLayout>
      </c:layout>
      <c:lineChart>
        <c:grouping val="standard"/>
        <c:ser>
          <c:idx val="0"/>
          <c:order val="0"/>
          <c:tx>
            <c:strRef>
              <c:f>Variables!$AH$2</c:f>
              <c:strCache>
                <c:ptCount val="1"/>
                <c:pt idx="0">
                  <c:v>Balanza</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Variables!$AG$3:$AG$28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Variables!$AH$3:$AH$28</c:f>
              <c:numCache>
                <c:formatCode>0.00</c:formatCode>
                <c:ptCount val="26"/>
                <c:pt idx="0">
                  <c:v>134.4903446590076</c:v>
                </c:pt>
                <c:pt idx="1">
                  <c:v>-40.035537834792407</c:v>
                </c:pt>
                <c:pt idx="2">
                  <c:v>121.41125384476214</c:v>
                </c:pt>
                <c:pt idx="3">
                  <c:v>-63.835458731845556</c:v>
                </c:pt>
                <c:pt idx="4">
                  <c:v>-120.11972884937056</c:v>
                </c:pt>
                <c:pt idx="5">
                  <c:v>169.92462083371177</c:v>
                </c:pt>
                <c:pt idx="6">
                  <c:v>227.97531302726222</c:v>
                </c:pt>
                <c:pt idx="7">
                  <c:v>257.52944255430526</c:v>
                </c:pt>
                <c:pt idx="8">
                  <c:v>214.06395048994321</c:v>
                </c:pt>
                <c:pt idx="9">
                  <c:v>512.63023114765167</c:v>
                </c:pt>
                <c:pt idx="10">
                  <c:v>689.51371951219562</c:v>
                </c:pt>
                <c:pt idx="11">
                  <c:v>889.00242168580542</c:v>
                </c:pt>
                <c:pt idx="12">
                  <c:v>305.33653064542341</c:v>
                </c:pt>
                <c:pt idx="13">
                  <c:v>-176.78918918918922</c:v>
                </c:pt>
                <c:pt idx="14">
                  <c:v>303.34070656639068</c:v>
                </c:pt>
                <c:pt idx="15">
                  <c:v>284.17810169105508</c:v>
                </c:pt>
                <c:pt idx="16">
                  <c:v>679.36978184756254</c:v>
                </c:pt>
                <c:pt idx="17">
                  <c:v>432.35610543302846</c:v>
                </c:pt>
                <c:pt idx="18">
                  <c:v>658.43089062803199</c:v>
                </c:pt>
                <c:pt idx="19">
                  <c:v>394.77193918378225</c:v>
                </c:pt>
                <c:pt idx="20">
                  <c:v>440.65666483387037</c:v>
                </c:pt>
                <c:pt idx="21">
                  <c:v>263.56463027739375</c:v>
                </c:pt>
                <c:pt idx="22">
                  <c:v>959.08031192218061</c:v>
                </c:pt>
                <c:pt idx="23">
                  <c:v>457.88667687595711</c:v>
                </c:pt>
                <c:pt idx="24">
                  <c:v>-731.080088170463</c:v>
                </c:pt>
                <c:pt idx="25">
                  <c:v>1093.9553219448098</c:v>
                </c:pt>
              </c:numCache>
            </c:numRef>
          </c:val>
        </c:ser>
        <c:marker val="1"/>
        <c:axId val="338450688"/>
        <c:axId val="337269504"/>
      </c:lineChart>
      <c:catAx>
        <c:axId val="338450688"/>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583524027459954"/>
              <c:y val="0.92918454935622297"/>
            </c:manualLayout>
          </c:layout>
          <c:spPr>
            <a:noFill/>
            <a:ln w="25381">
              <a:noFill/>
            </a:ln>
          </c:spPr>
        </c:title>
        <c:numFmt formatCode="General" sourceLinked="1"/>
        <c:tickLblPos val="nextTo"/>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7269504"/>
        <c:crosses val="autoZero"/>
        <c:auto val="1"/>
        <c:lblAlgn val="ctr"/>
        <c:lblOffset val="100"/>
        <c:tickLblSkip val="2"/>
        <c:tickMarkSkip val="1"/>
      </c:catAx>
      <c:valAx>
        <c:axId val="337269504"/>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2.5171624713958809E-2"/>
              <c:y val="0.38197424892703885"/>
            </c:manualLayout>
          </c:layout>
          <c:spPr>
            <a:noFill/>
            <a:ln w="25381">
              <a:noFill/>
            </a:ln>
          </c:spPr>
        </c:title>
        <c:numFmt formatCode="0.00"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8450688"/>
        <c:crosses val="autoZero"/>
        <c:crossBetween val="between"/>
      </c:valAx>
      <c:spPr>
        <a:solidFill>
          <a:srgbClr val="C0C0C0"/>
        </a:solidFill>
        <a:ln w="12690">
          <a:solidFill>
            <a:srgbClr val="808080"/>
          </a:solidFill>
          <a:prstDash val="solid"/>
        </a:ln>
      </c:spPr>
    </c:plotArea>
    <c:legend>
      <c:legendPos val="t"/>
      <c:layout>
        <c:manualLayout>
          <c:xMode val="edge"/>
          <c:yMode val="edge"/>
          <c:x val="0.49885583524027483"/>
          <c:y val="6.437768240343352E-3"/>
          <c:w val="0.19450800915331809"/>
          <c:h val="4.9356223175965698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11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143497757847539"/>
          <c:y val="8.1593927893738136E-2"/>
          <c:w val="0.81614349775784767"/>
          <c:h val="0.77988614800759015"/>
        </c:manualLayout>
      </c:layout>
      <c:bar3DChart>
        <c:barDir val="col"/>
        <c:grouping val="clustered"/>
        <c:ser>
          <c:idx val="0"/>
          <c:order val="0"/>
          <c:tx>
            <c:strRef>
              <c:f>Variables!$AP$2:$AP$3</c:f>
              <c:strCache>
                <c:ptCount val="1"/>
                <c:pt idx="0">
                  <c:v>Balanza</c:v>
                </c:pt>
              </c:strCache>
            </c:strRef>
          </c:tx>
          <c:spPr>
            <a:solidFill>
              <a:srgbClr val="9999FF"/>
            </a:solidFill>
            <a:ln w="12700">
              <a:solidFill>
                <a:srgbClr val="000000"/>
              </a:solidFill>
              <a:prstDash val="solid"/>
            </a:ln>
          </c:spPr>
          <c:cat>
            <c:numRef>
              <c:f>Variables!$AO$4:$AO$28</c:f>
              <c:numCache>
                <c:formatCode>General</c:formatCode>
                <c:ptCount val="25"/>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numCache>
            </c:numRef>
          </c:cat>
          <c:val>
            <c:numRef>
              <c:f>Variables!$AP$4:$AP$28</c:f>
              <c:numCache>
                <c:formatCode>0.00</c:formatCode>
                <c:ptCount val="25"/>
                <c:pt idx="0">
                  <c:v>-1.2976833611089347</c:v>
                </c:pt>
                <c:pt idx="1">
                  <c:v>-4.0325870566737088</c:v>
                </c:pt>
                <c:pt idx="2">
                  <c:v>-1.5257787619380521</c:v>
                </c:pt>
                <c:pt idx="3">
                  <c:v>0.88170855564709061</c:v>
                </c:pt>
                <c:pt idx="4">
                  <c:v>-2.4146270763464375</c:v>
                </c:pt>
                <c:pt idx="5">
                  <c:v>0.34162613933597585</c:v>
                </c:pt>
                <c:pt idx="6">
                  <c:v>0.12963741176444279</c:v>
                </c:pt>
                <c:pt idx="7">
                  <c:v>-0.16877872927168827</c:v>
                </c:pt>
                <c:pt idx="8">
                  <c:v>1.3947527361536523</c:v>
                </c:pt>
                <c:pt idx="9">
                  <c:v>0.34505083316788737</c:v>
                </c:pt>
                <c:pt idx="10">
                  <c:v>0.2893179592057159</c:v>
                </c:pt>
                <c:pt idx="11">
                  <c:v>-0.65654027121049152</c:v>
                </c:pt>
                <c:pt idx="12">
                  <c:v>-1.5789978317219053</c:v>
                </c:pt>
                <c:pt idx="13">
                  <c:v>-2.7158328965566647</c:v>
                </c:pt>
                <c:pt idx="14">
                  <c:v>-6.3171887124030213E-2</c:v>
                </c:pt>
                <c:pt idx="15">
                  <c:v>1.390647899344972</c:v>
                </c:pt>
                <c:pt idx="16">
                  <c:v>-0.3635923807838119</c:v>
                </c:pt>
                <c:pt idx="17">
                  <c:v>0.52289023412443092</c:v>
                </c:pt>
                <c:pt idx="18">
                  <c:v>-0.4004352699685208</c:v>
                </c:pt>
                <c:pt idx="19">
                  <c:v>0.11623097058255363</c:v>
                </c:pt>
                <c:pt idx="20">
                  <c:v>-0.40188211977513416</c:v>
                </c:pt>
                <c:pt idx="21">
                  <c:v>2.6388809489072114</c:v>
                </c:pt>
                <c:pt idx="22">
                  <c:v>-0.52257733665884099</c:v>
                </c:pt>
                <c:pt idx="23">
                  <c:v>-2.5966397912217798</c:v>
                </c:pt>
                <c:pt idx="24">
                  <c:v>-2.4963549680069201</c:v>
                </c:pt>
              </c:numCache>
            </c:numRef>
          </c:val>
        </c:ser>
        <c:shape val="box"/>
        <c:axId val="339063552"/>
        <c:axId val="339065472"/>
        <c:axId val="0"/>
      </c:bar3DChart>
      <c:catAx>
        <c:axId val="339063552"/>
        <c:scaling>
          <c:orientation val="minMax"/>
        </c:scaling>
        <c:axPos val="b"/>
        <c:title>
          <c:tx>
            <c:rich>
              <a:bodyPr/>
              <a:lstStyle/>
              <a:p>
                <a:pPr>
                  <a:defRPr sz="900" b="1" i="0" u="none" strike="noStrike" baseline="0">
                    <a:solidFill>
                      <a:srgbClr val="000000"/>
                    </a:solidFill>
                    <a:latin typeface="Arial"/>
                    <a:ea typeface="Arial"/>
                    <a:cs typeface="Arial"/>
                  </a:defRPr>
                </a:pPr>
                <a:r>
                  <a:t>Años</a:t>
                </a:r>
              </a:p>
            </c:rich>
          </c:tx>
          <c:layout>
            <c:manualLayout>
              <c:xMode val="edge"/>
              <c:yMode val="edge"/>
              <c:x val="0.53139013452914818"/>
              <c:y val="0.92409867172675519"/>
            </c:manualLayout>
          </c:layout>
          <c:spPr>
            <a:noFill/>
            <a:ln w="25400">
              <a:noFill/>
            </a:ln>
          </c:spPr>
        </c:title>
        <c:numFmt formatCode="General" sourceLinked="1"/>
        <c:tickLblPos val="low"/>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s-ES"/>
          </a:p>
        </c:txPr>
        <c:crossAx val="339065472"/>
        <c:crosses val="autoZero"/>
        <c:auto val="1"/>
        <c:lblAlgn val="ctr"/>
        <c:lblOffset val="100"/>
        <c:tickLblSkip val="2"/>
        <c:tickMarkSkip val="1"/>
      </c:catAx>
      <c:valAx>
        <c:axId val="339065472"/>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Variación</a:t>
                </a:r>
              </a:p>
            </c:rich>
          </c:tx>
          <c:layout>
            <c:manualLayout>
              <c:xMode val="edge"/>
              <c:yMode val="edge"/>
              <c:x val="2.6905829596412564E-2"/>
              <c:y val="0.42125237191650866"/>
            </c:manualLayout>
          </c:layout>
          <c:spPr>
            <a:noFill/>
            <a:ln w="25400">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339063552"/>
        <c:crosses val="autoZero"/>
        <c:crossBetween val="between"/>
      </c:valAx>
      <c:spPr>
        <a:noFill/>
        <a:ln w="25400">
          <a:noFill/>
        </a:ln>
      </c:spPr>
    </c:plotArea>
    <c:legend>
      <c:legendPos val="t"/>
      <c:layout>
        <c:manualLayout>
          <c:xMode val="edge"/>
          <c:yMode val="edge"/>
          <c:x val="0.42600896860986576"/>
          <c:y val="5.6925996204933594E-3"/>
          <c:w val="0.14798206278026918"/>
          <c:h val="4.3643263757115754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99" b="1" i="0" u="none" strike="noStrike" baseline="0">
                <a:solidFill>
                  <a:srgbClr val="000000"/>
                </a:solidFill>
                <a:latin typeface="Arial"/>
                <a:ea typeface="Arial"/>
                <a:cs typeface="Arial"/>
              </a:defRPr>
            </a:pPr>
            <a:r>
              <a:t>Exportaciones por provincia y actividad 
(en millones de sucres)</a:t>
            </a:r>
          </a:p>
        </c:rich>
      </c:tx>
      <c:layout>
        <c:manualLayout>
          <c:xMode val="edge"/>
          <c:yMode val="edge"/>
          <c:x val="0.18574514038876896"/>
          <c:y val="1.9178082191780823E-2"/>
        </c:manualLayout>
      </c:layout>
      <c:spPr>
        <a:noFill/>
        <a:ln w="25377">
          <a:noFill/>
        </a:ln>
      </c:spPr>
    </c:title>
    <c:plotArea>
      <c:layout>
        <c:manualLayout>
          <c:layoutTarget val="inner"/>
          <c:xMode val="edge"/>
          <c:yMode val="edge"/>
          <c:x val="0.21814254859611243"/>
          <c:y val="0.36712328767123287"/>
          <c:w val="0.55939524838012977"/>
          <c:h val="0.41095890410958913"/>
        </c:manualLayout>
      </c:layout>
      <c:barChart>
        <c:barDir val="col"/>
        <c:grouping val="clustered"/>
        <c:ser>
          <c:idx val="0"/>
          <c:order val="0"/>
          <c:tx>
            <c:strRef>
              <c:f>Hoja1!$A$29</c:f>
              <c:strCache>
                <c:ptCount val="1"/>
                <c:pt idx="0">
                  <c:v>Pichincha</c:v>
                </c:pt>
              </c:strCache>
            </c:strRef>
          </c:tx>
          <c:spPr>
            <a:solidFill>
              <a:srgbClr val="9999FF"/>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Hoja1!$B$29:$I$29</c:f>
              <c:numCache>
                <c:formatCode>#,##0</c:formatCode>
                <c:ptCount val="8"/>
                <c:pt idx="0">
                  <c:v>375042</c:v>
                </c:pt>
                <c:pt idx="1">
                  <c:v>1002503</c:v>
                </c:pt>
                <c:pt idx="2">
                  <c:v>1314749</c:v>
                </c:pt>
                <c:pt idx="3">
                  <c:v>0</c:v>
                </c:pt>
                <c:pt idx="4">
                  <c:v>2623</c:v>
                </c:pt>
                <c:pt idx="5">
                  <c:v>238927</c:v>
                </c:pt>
                <c:pt idx="6">
                  <c:v>5632</c:v>
                </c:pt>
                <c:pt idx="7">
                  <c:v>74372</c:v>
                </c:pt>
              </c:numCache>
            </c:numRef>
          </c:val>
        </c:ser>
        <c:ser>
          <c:idx val="1"/>
          <c:order val="1"/>
          <c:tx>
            <c:strRef>
              <c:f>Hoja1!$A$30</c:f>
              <c:strCache>
                <c:ptCount val="1"/>
                <c:pt idx="0">
                  <c:v>Azuay</c:v>
                </c:pt>
              </c:strCache>
            </c:strRef>
          </c:tx>
          <c:spPr>
            <a:solidFill>
              <a:srgbClr val="993366"/>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Hoja1!$B$30:$I$30</c:f>
              <c:numCache>
                <c:formatCode>General</c:formatCode>
                <c:ptCount val="8"/>
                <c:pt idx="0" formatCode="#,##0">
                  <c:v>31541</c:v>
                </c:pt>
                <c:pt idx="1">
                  <c:v>0</c:v>
                </c:pt>
                <c:pt idx="2" formatCode="#,##0">
                  <c:v>205914</c:v>
                </c:pt>
                <c:pt idx="3">
                  <c:v>0</c:v>
                </c:pt>
                <c:pt idx="4">
                  <c:v>0</c:v>
                </c:pt>
                <c:pt idx="5" formatCode="#,##0">
                  <c:v>1739</c:v>
                </c:pt>
                <c:pt idx="6">
                  <c:v>0</c:v>
                </c:pt>
                <c:pt idx="7">
                  <c:v>0</c:v>
                </c:pt>
              </c:numCache>
            </c:numRef>
          </c:val>
        </c:ser>
        <c:ser>
          <c:idx val="2"/>
          <c:order val="2"/>
          <c:tx>
            <c:strRef>
              <c:f>Hoja1!$A$31</c:f>
              <c:strCache>
                <c:ptCount val="1"/>
                <c:pt idx="0">
                  <c:v>Cotopaxi</c:v>
                </c:pt>
              </c:strCache>
            </c:strRef>
          </c:tx>
          <c:spPr>
            <a:solidFill>
              <a:srgbClr val="FFFFCC"/>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Hoja1!$B$31:$I$31</c:f>
              <c:numCache>
                <c:formatCode>General</c:formatCode>
                <c:ptCount val="8"/>
                <c:pt idx="0">
                  <c:v>0</c:v>
                </c:pt>
                <c:pt idx="1">
                  <c:v>0</c:v>
                </c:pt>
                <c:pt idx="2" formatCode="#,##0">
                  <c:v>75458</c:v>
                </c:pt>
                <c:pt idx="3">
                  <c:v>0</c:v>
                </c:pt>
                <c:pt idx="4">
                  <c:v>0</c:v>
                </c:pt>
                <c:pt idx="5">
                  <c:v>0</c:v>
                </c:pt>
                <c:pt idx="6">
                  <c:v>0</c:v>
                </c:pt>
                <c:pt idx="7">
                  <c:v>0</c:v>
                </c:pt>
              </c:numCache>
            </c:numRef>
          </c:val>
        </c:ser>
        <c:ser>
          <c:idx val="3"/>
          <c:order val="3"/>
          <c:tx>
            <c:strRef>
              <c:f>Hoja1!$A$32</c:f>
              <c:strCache>
                <c:ptCount val="1"/>
                <c:pt idx="0">
                  <c:v>Tungurahua</c:v>
                </c:pt>
              </c:strCache>
            </c:strRef>
          </c:tx>
          <c:spPr>
            <a:solidFill>
              <a:srgbClr val="CCFFFF"/>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Hoja1!$B$32:$I$32</c:f>
              <c:numCache>
                <c:formatCode>General</c:formatCode>
                <c:ptCount val="8"/>
                <c:pt idx="0">
                  <c:v>0</c:v>
                </c:pt>
                <c:pt idx="1">
                  <c:v>0</c:v>
                </c:pt>
                <c:pt idx="2" formatCode="#,##0">
                  <c:v>56413</c:v>
                </c:pt>
                <c:pt idx="3">
                  <c:v>0</c:v>
                </c:pt>
                <c:pt idx="4">
                  <c:v>0</c:v>
                </c:pt>
                <c:pt idx="5">
                  <c:v>0</c:v>
                </c:pt>
                <c:pt idx="6">
                  <c:v>0</c:v>
                </c:pt>
                <c:pt idx="7">
                  <c:v>0</c:v>
                </c:pt>
              </c:numCache>
            </c:numRef>
          </c:val>
        </c:ser>
        <c:ser>
          <c:idx val="4"/>
          <c:order val="4"/>
          <c:tx>
            <c:strRef>
              <c:f>Hoja1!$A$33</c:f>
              <c:strCache>
                <c:ptCount val="1"/>
                <c:pt idx="0">
                  <c:v>Imbabura</c:v>
                </c:pt>
              </c:strCache>
            </c:strRef>
          </c:tx>
          <c:spPr>
            <a:solidFill>
              <a:srgbClr val="660066"/>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Hoja1!$B$33:$I$33</c:f>
              <c:numCache>
                <c:formatCode>General</c:formatCode>
                <c:ptCount val="8"/>
                <c:pt idx="0">
                  <c:v>0</c:v>
                </c:pt>
                <c:pt idx="1">
                  <c:v>0</c:v>
                </c:pt>
                <c:pt idx="2" formatCode="#,##0">
                  <c:v>23158</c:v>
                </c:pt>
                <c:pt idx="3">
                  <c:v>0</c:v>
                </c:pt>
                <c:pt idx="4">
                  <c:v>0</c:v>
                </c:pt>
                <c:pt idx="5">
                  <c:v>0</c:v>
                </c:pt>
                <c:pt idx="6">
                  <c:v>0</c:v>
                </c:pt>
                <c:pt idx="7">
                  <c:v>0</c:v>
                </c:pt>
              </c:numCache>
            </c:numRef>
          </c:val>
        </c:ser>
        <c:ser>
          <c:idx val="5"/>
          <c:order val="5"/>
          <c:tx>
            <c:strRef>
              <c:f>Hoja1!$A$34</c:f>
              <c:strCache>
                <c:ptCount val="1"/>
                <c:pt idx="0">
                  <c:v>Cañar</c:v>
                </c:pt>
              </c:strCache>
            </c:strRef>
          </c:tx>
          <c:spPr>
            <a:solidFill>
              <a:srgbClr val="FF8080"/>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Hoja1!$B$34:$I$34</c:f>
              <c:numCache>
                <c:formatCode>General</c:formatCode>
                <c:ptCount val="8"/>
                <c:pt idx="0" formatCode="#,##0">
                  <c:v>16643</c:v>
                </c:pt>
                <c:pt idx="1">
                  <c:v>0</c:v>
                </c:pt>
                <c:pt idx="2">
                  <c:v>0</c:v>
                </c:pt>
                <c:pt idx="3">
                  <c:v>0</c:v>
                </c:pt>
                <c:pt idx="4">
                  <c:v>0</c:v>
                </c:pt>
                <c:pt idx="5">
                  <c:v>0</c:v>
                </c:pt>
                <c:pt idx="6">
                  <c:v>0</c:v>
                </c:pt>
                <c:pt idx="7">
                  <c:v>0</c:v>
                </c:pt>
              </c:numCache>
            </c:numRef>
          </c:val>
        </c:ser>
        <c:ser>
          <c:idx val="6"/>
          <c:order val="6"/>
          <c:tx>
            <c:strRef>
              <c:f>Hoja1!$A$35</c:f>
              <c:strCache>
                <c:ptCount val="1"/>
                <c:pt idx="0">
                  <c:v>Chimborazo</c:v>
                </c:pt>
              </c:strCache>
            </c:strRef>
          </c:tx>
          <c:spPr>
            <a:solidFill>
              <a:srgbClr val="0066CC"/>
            </a:solidFill>
            <a:ln w="12688">
              <a:solidFill>
                <a:srgbClr val="000000"/>
              </a:solidFill>
              <a:prstDash val="solid"/>
            </a:ln>
          </c:spPr>
          <c:cat>
            <c:strRef>
              <c:f>Hoja1!$B$28:$I$28</c:f>
              <c:strCache>
                <c:ptCount val="8"/>
                <c:pt idx="0">
                  <c:v>Agricultura</c:v>
                </c:pt>
                <c:pt idx="1">
                  <c:v>Minas</c:v>
                </c:pt>
                <c:pt idx="2">
                  <c:v>Industrias</c:v>
                </c:pt>
                <c:pt idx="3">
                  <c:v>Electricidad</c:v>
                </c:pt>
                <c:pt idx="4">
                  <c:v>Construcción </c:v>
                </c:pt>
                <c:pt idx="5">
                  <c:v>Comercio</c:v>
                </c:pt>
                <c:pt idx="6">
                  <c:v>Transporte</c:v>
                </c:pt>
                <c:pt idx="7">
                  <c:v>Serv. a emp.</c:v>
                </c:pt>
              </c:strCache>
            </c:strRef>
          </c:cat>
          <c:val>
            <c:numRef>
              <c:f>Hoja1!$B$35:$I$35</c:f>
              <c:numCache>
                <c:formatCode>General</c:formatCode>
                <c:ptCount val="8"/>
                <c:pt idx="0">
                  <c:v>0</c:v>
                </c:pt>
                <c:pt idx="1">
                  <c:v>0</c:v>
                </c:pt>
                <c:pt idx="2" formatCode="#,##0">
                  <c:v>0</c:v>
                </c:pt>
                <c:pt idx="3" formatCode="#,##0">
                  <c:v>16621</c:v>
                </c:pt>
                <c:pt idx="4">
                  <c:v>0</c:v>
                </c:pt>
                <c:pt idx="5">
                  <c:v>0</c:v>
                </c:pt>
                <c:pt idx="6">
                  <c:v>0</c:v>
                </c:pt>
                <c:pt idx="7">
                  <c:v>0</c:v>
                </c:pt>
              </c:numCache>
            </c:numRef>
          </c:val>
        </c:ser>
        <c:axId val="330302208"/>
        <c:axId val="330303744"/>
      </c:barChart>
      <c:catAx>
        <c:axId val="330302208"/>
        <c:scaling>
          <c:orientation val="minMax"/>
        </c:scaling>
        <c:axPos val="b"/>
        <c:numFmt formatCode="General" sourceLinked="1"/>
        <c:tickLblPos val="nextTo"/>
        <c:spPr>
          <a:ln w="3172">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30303744"/>
        <c:crosses val="autoZero"/>
        <c:auto val="1"/>
        <c:lblAlgn val="ctr"/>
        <c:lblOffset val="100"/>
        <c:tickLblSkip val="1"/>
        <c:tickMarkSkip val="1"/>
      </c:catAx>
      <c:valAx>
        <c:axId val="330303744"/>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302208"/>
        <c:crosses val="autoZero"/>
        <c:crossBetween val="between"/>
      </c:valAx>
      <c:spPr>
        <a:solidFill>
          <a:srgbClr val="C0C0C0"/>
        </a:solidFill>
        <a:ln w="12688">
          <a:solidFill>
            <a:srgbClr val="808080"/>
          </a:solidFill>
          <a:prstDash val="solid"/>
        </a:ln>
      </c:spPr>
    </c:plotArea>
    <c:legend>
      <c:legendPos val="r"/>
      <c:layout>
        <c:manualLayout>
          <c:xMode val="edge"/>
          <c:yMode val="edge"/>
          <c:x val="0.79913606911447088"/>
          <c:y val="0.3780821917808222"/>
          <c:w val="0.19222462203023757"/>
          <c:h val="0.40547945205479452"/>
        </c:manualLayout>
      </c:layout>
      <c:spPr>
        <a:solidFill>
          <a:srgbClr val="FFFFFF"/>
        </a:solidFill>
        <a:ln w="3172">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2421524663677136"/>
          <c:y val="0.16292134831460675"/>
          <c:w val="0.74887892376681642"/>
          <c:h val="0.53089887640449496"/>
        </c:manualLayout>
      </c:layout>
      <c:bar3DChart>
        <c:barDir val="col"/>
        <c:grouping val="clustered"/>
        <c:ser>
          <c:idx val="0"/>
          <c:order val="0"/>
          <c:tx>
            <c:strRef>
              <c:f>'No. de compañias'!$A$33</c:f>
              <c:strCache>
                <c:ptCount val="1"/>
                <c:pt idx="0">
                  <c:v>Promedio de compañías</c:v>
                </c:pt>
              </c:strCache>
            </c:strRef>
          </c:tx>
          <c:spPr>
            <a:solidFill>
              <a:srgbClr val="9999FF"/>
            </a:solidFill>
            <a:ln w="12689">
              <a:solidFill>
                <a:srgbClr val="000000"/>
              </a:solidFill>
              <a:prstDash val="solid"/>
            </a:ln>
          </c:spPr>
          <c:cat>
            <c:strRef>
              <c:f>'No. de compañias'!$B$32:$J$32</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'No. de compañias'!$B$33:$J$33</c:f>
              <c:numCache>
                <c:formatCode>General</c:formatCode>
                <c:ptCount val="9"/>
                <c:pt idx="0">
                  <c:v>22.84</c:v>
                </c:pt>
                <c:pt idx="1">
                  <c:v>4.8</c:v>
                </c:pt>
                <c:pt idx="2">
                  <c:v>52.4</c:v>
                </c:pt>
                <c:pt idx="3">
                  <c:v>1.56</c:v>
                </c:pt>
                <c:pt idx="4">
                  <c:v>17.68</c:v>
                </c:pt>
                <c:pt idx="5">
                  <c:v>120.67999999999998</c:v>
                </c:pt>
                <c:pt idx="6">
                  <c:v>44.4</c:v>
                </c:pt>
                <c:pt idx="7">
                  <c:v>103</c:v>
                </c:pt>
                <c:pt idx="8">
                  <c:v>20.16</c:v>
                </c:pt>
              </c:numCache>
            </c:numRef>
          </c:val>
        </c:ser>
        <c:shape val="box"/>
        <c:axId val="339180160"/>
        <c:axId val="339181952"/>
        <c:axId val="0"/>
      </c:bar3DChart>
      <c:catAx>
        <c:axId val="339180160"/>
        <c:scaling>
          <c:orientation val="minMax"/>
        </c:scaling>
        <c:axPos val="b"/>
        <c:numFmt formatCode="General" sourceLinked="1"/>
        <c:tickLblPos val="low"/>
        <c:spPr>
          <a:ln w="3172">
            <a:solidFill>
              <a:srgbClr val="000000"/>
            </a:solidFill>
            <a:prstDash val="solid"/>
          </a:ln>
        </c:spPr>
        <c:txPr>
          <a:bodyPr rot="-2700000" vert="horz"/>
          <a:lstStyle/>
          <a:p>
            <a:pPr>
              <a:defRPr sz="799" b="0" i="0" u="none" strike="noStrike" baseline="0">
                <a:solidFill>
                  <a:srgbClr val="000000"/>
                </a:solidFill>
                <a:latin typeface="Arial"/>
                <a:ea typeface="Arial"/>
                <a:cs typeface="Arial"/>
              </a:defRPr>
            </a:pPr>
            <a:endParaRPr lang="es-ES"/>
          </a:p>
        </c:txPr>
        <c:crossAx val="339181952"/>
        <c:crosses val="autoZero"/>
        <c:auto val="1"/>
        <c:lblAlgn val="ctr"/>
        <c:lblOffset val="100"/>
        <c:tickLblSkip val="1"/>
        <c:tickMarkSkip val="1"/>
      </c:catAx>
      <c:valAx>
        <c:axId val="339181952"/>
        <c:scaling>
          <c:orientation val="minMax"/>
        </c:scaling>
        <c:axPos val="l"/>
        <c:majorGridlines>
          <c:spPr>
            <a:ln w="3172">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t>Cantidad</a:t>
                </a:r>
              </a:p>
            </c:rich>
          </c:tx>
          <c:layout>
            <c:manualLayout>
              <c:xMode val="edge"/>
              <c:yMode val="edge"/>
              <c:x val="0.17488789237668168"/>
              <c:y val="0.36516853932584298"/>
            </c:manualLayout>
          </c:layout>
          <c:spPr>
            <a:noFill/>
            <a:ln w="25377">
              <a:noFill/>
            </a:ln>
          </c:spPr>
        </c:title>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39180160"/>
        <c:crosses val="autoZero"/>
        <c:crossBetween val="between"/>
      </c:valAx>
      <c:spPr>
        <a:noFill/>
        <a:ln w="25377">
          <a:noFill/>
        </a:ln>
      </c:spPr>
    </c:plotArea>
    <c:legend>
      <c:legendPos val="t"/>
      <c:layout>
        <c:manualLayout>
          <c:xMode val="edge"/>
          <c:yMode val="edge"/>
          <c:x val="0.20627802690582961"/>
          <c:y val="1.404494382022471E-2"/>
          <c:w val="0.48206278026905852"/>
          <c:h val="7.8651685393258425E-2"/>
        </c:manualLayout>
      </c:layout>
      <c:spPr>
        <a:solidFill>
          <a:srgbClr val="FFFFFF"/>
        </a:solidFill>
        <a:ln w="3172">
          <a:solidFill>
            <a:srgbClr val="000000"/>
          </a:solidFill>
          <a:prstDash val="solid"/>
        </a:ln>
      </c:spPr>
      <c:txPr>
        <a:bodyPr/>
        <a:lstStyle/>
        <a:p>
          <a:pPr>
            <a:defRPr sz="109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942791762013736"/>
          <c:y val="0.10597826086956519"/>
          <c:w val="0.72768878718535468"/>
          <c:h val="0.57880434782608692"/>
        </c:manualLayout>
      </c:layout>
      <c:bar3DChart>
        <c:barDir val="col"/>
        <c:grouping val="clustered"/>
        <c:ser>
          <c:idx val="0"/>
          <c:order val="0"/>
          <c:tx>
            <c:strRef>
              <c:f>Activo!$A$62</c:f>
              <c:strCache>
                <c:ptCount val="1"/>
                <c:pt idx="0">
                  <c:v>Promedio de activos</c:v>
                </c:pt>
              </c:strCache>
            </c:strRef>
          </c:tx>
          <c:spPr>
            <a:solidFill>
              <a:srgbClr val="9999FF"/>
            </a:solidFill>
            <a:ln w="12688">
              <a:solidFill>
                <a:srgbClr val="000000"/>
              </a:solidFill>
              <a:prstDash val="solid"/>
            </a:ln>
          </c:spPr>
          <c:cat>
            <c:strRef>
              <c:f>Activo!$B$61:$J$61</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Activo!$B$62:$J$62</c:f>
              <c:numCache>
                <c:formatCode>General</c:formatCode>
                <c:ptCount val="9"/>
                <c:pt idx="0">
                  <c:v>17.84</c:v>
                </c:pt>
                <c:pt idx="1">
                  <c:v>63.84</c:v>
                </c:pt>
                <c:pt idx="2">
                  <c:v>84.79</c:v>
                </c:pt>
                <c:pt idx="3">
                  <c:v>61.27</c:v>
                </c:pt>
                <c:pt idx="4">
                  <c:v>12.370000000000003</c:v>
                </c:pt>
                <c:pt idx="5">
                  <c:v>56.89</c:v>
                </c:pt>
                <c:pt idx="6">
                  <c:v>40.61</c:v>
                </c:pt>
                <c:pt idx="7">
                  <c:v>27.77</c:v>
                </c:pt>
                <c:pt idx="8">
                  <c:v>5.1599999999999984</c:v>
                </c:pt>
              </c:numCache>
            </c:numRef>
          </c:val>
        </c:ser>
        <c:shape val="box"/>
        <c:axId val="339886464"/>
        <c:axId val="339888000"/>
        <c:axId val="0"/>
      </c:bar3DChart>
      <c:catAx>
        <c:axId val="339886464"/>
        <c:scaling>
          <c:orientation val="minMax"/>
        </c:scaling>
        <c:axPos val="b"/>
        <c:numFmt formatCode="General" sourceLinked="1"/>
        <c:tickLblPos val="low"/>
        <c:spPr>
          <a:ln w="3172">
            <a:solidFill>
              <a:srgbClr val="000000"/>
            </a:solidFill>
            <a:prstDash val="solid"/>
          </a:ln>
        </c:spPr>
        <c:txPr>
          <a:bodyPr rot="-2700000" vert="horz"/>
          <a:lstStyle/>
          <a:p>
            <a:pPr>
              <a:defRPr sz="874" b="0" i="0" u="none" strike="noStrike" baseline="0">
                <a:solidFill>
                  <a:srgbClr val="000000"/>
                </a:solidFill>
                <a:latin typeface="Arial"/>
                <a:ea typeface="Arial"/>
                <a:cs typeface="Arial"/>
              </a:defRPr>
            </a:pPr>
            <a:endParaRPr lang="es-ES"/>
          </a:p>
        </c:txPr>
        <c:crossAx val="339888000"/>
        <c:crosses val="autoZero"/>
        <c:auto val="1"/>
        <c:lblAlgn val="ctr"/>
        <c:lblOffset val="100"/>
        <c:tickLblSkip val="1"/>
        <c:tickMarkSkip val="1"/>
      </c:catAx>
      <c:valAx>
        <c:axId val="339888000"/>
        <c:scaling>
          <c:orientation val="minMax"/>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0.19679633867276897"/>
              <c:y val="0.25271739130434795"/>
            </c:manualLayout>
          </c:layout>
          <c:spPr>
            <a:noFill/>
            <a:ln w="25377">
              <a:noFill/>
            </a:ln>
          </c:spPr>
        </c:title>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9886464"/>
        <c:crosses val="autoZero"/>
        <c:crossBetween val="between"/>
      </c:valAx>
      <c:spPr>
        <a:noFill/>
        <a:ln w="25377">
          <a:noFill/>
        </a:ln>
      </c:spPr>
    </c:plotArea>
    <c:legend>
      <c:legendPos val="t"/>
      <c:layout>
        <c:manualLayout>
          <c:xMode val="edge"/>
          <c:yMode val="edge"/>
          <c:x val="0.34553775743707094"/>
          <c:y val="8.1521739130434798E-3"/>
          <c:w val="0.30663615560640733"/>
          <c:h val="6.25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942791762013736"/>
          <c:y val="0.10955056179775281"/>
          <c:w val="0.72768878718535468"/>
          <c:h val="0.5646067415730337"/>
        </c:manualLayout>
      </c:layout>
      <c:bar3DChart>
        <c:barDir val="col"/>
        <c:grouping val="clustered"/>
        <c:ser>
          <c:idx val="0"/>
          <c:order val="0"/>
          <c:tx>
            <c:strRef>
              <c:f>Pasivo!$A$65</c:f>
              <c:strCache>
                <c:ptCount val="1"/>
                <c:pt idx="0">
                  <c:v>Promedio de pasivos</c:v>
                </c:pt>
              </c:strCache>
            </c:strRef>
          </c:tx>
          <c:spPr>
            <a:solidFill>
              <a:srgbClr val="9999FF"/>
            </a:solidFill>
            <a:ln w="12689">
              <a:solidFill>
                <a:srgbClr val="000000"/>
              </a:solidFill>
              <a:prstDash val="solid"/>
            </a:ln>
          </c:spPr>
          <c:cat>
            <c:strRef>
              <c:f>Pasivo!$B$64:$J$64</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Pasivo!$B$65:$J$65</c:f>
              <c:numCache>
                <c:formatCode>General</c:formatCode>
                <c:ptCount val="9"/>
                <c:pt idx="0">
                  <c:v>14.63</c:v>
                </c:pt>
                <c:pt idx="1">
                  <c:v>64.940000000000026</c:v>
                </c:pt>
                <c:pt idx="2">
                  <c:v>54.56</c:v>
                </c:pt>
                <c:pt idx="3">
                  <c:v>32.54</c:v>
                </c:pt>
                <c:pt idx="4">
                  <c:v>9.49</c:v>
                </c:pt>
                <c:pt idx="5">
                  <c:v>44.11</c:v>
                </c:pt>
                <c:pt idx="6">
                  <c:v>25.959999999999994</c:v>
                </c:pt>
                <c:pt idx="7">
                  <c:v>18.12</c:v>
                </c:pt>
                <c:pt idx="8">
                  <c:v>3.56</c:v>
                </c:pt>
              </c:numCache>
            </c:numRef>
          </c:val>
        </c:ser>
        <c:shape val="box"/>
        <c:axId val="339933056"/>
        <c:axId val="339934592"/>
        <c:axId val="0"/>
      </c:bar3DChart>
      <c:catAx>
        <c:axId val="339933056"/>
        <c:scaling>
          <c:orientation val="minMax"/>
        </c:scaling>
        <c:axPos val="b"/>
        <c:numFmt formatCode="General" sourceLinked="1"/>
        <c:tickLblPos val="low"/>
        <c:spPr>
          <a:ln w="3172">
            <a:solidFill>
              <a:srgbClr val="000000"/>
            </a:solidFill>
            <a:prstDash val="solid"/>
          </a:ln>
        </c:spPr>
        <c:txPr>
          <a:bodyPr rot="-2700000" vert="horz"/>
          <a:lstStyle/>
          <a:p>
            <a:pPr>
              <a:defRPr sz="874" b="0" i="0" u="none" strike="noStrike" baseline="0">
                <a:solidFill>
                  <a:srgbClr val="000000"/>
                </a:solidFill>
                <a:latin typeface="Arial"/>
                <a:ea typeface="Arial"/>
                <a:cs typeface="Arial"/>
              </a:defRPr>
            </a:pPr>
            <a:endParaRPr lang="es-ES"/>
          </a:p>
        </c:txPr>
        <c:crossAx val="339934592"/>
        <c:crosses val="autoZero"/>
        <c:auto val="1"/>
        <c:lblAlgn val="ctr"/>
        <c:lblOffset val="100"/>
        <c:tickLblSkip val="1"/>
        <c:tickMarkSkip val="1"/>
      </c:catAx>
      <c:valAx>
        <c:axId val="339934592"/>
        <c:scaling>
          <c:orientation val="minMax"/>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0.20137299771167047"/>
              <c:y val="0.24157303370786526"/>
            </c:manualLayout>
          </c:layout>
          <c:spPr>
            <a:noFill/>
            <a:ln w="25377">
              <a:noFill/>
            </a:ln>
          </c:spPr>
        </c:title>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9933056"/>
        <c:crosses val="autoZero"/>
        <c:crossBetween val="between"/>
      </c:valAx>
      <c:spPr>
        <a:noFill/>
        <a:ln w="25377">
          <a:noFill/>
        </a:ln>
      </c:spPr>
    </c:plotArea>
    <c:legend>
      <c:legendPos val="t"/>
      <c:layout>
        <c:manualLayout>
          <c:xMode val="edge"/>
          <c:yMode val="edge"/>
          <c:x val="0.34096109839816935"/>
          <c:y val="8.4269662921348347E-3"/>
          <c:w val="0.31807780320366152"/>
          <c:h val="6.4606741573033713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494382022471911"/>
          <c:y val="0.125"/>
          <c:w val="0.73258426966292112"/>
          <c:h val="0.51562500000000022"/>
        </c:manualLayout>
      </c:layout>
      <c:bar3DChart>
        <c:barDir val="col"/>
        <c:grouping val="clustered"/>
        <c:ser>
          <c:idx val="0"/>
          <c:order val="0"/>
          <c:tx>
            <c:strRef>
              <c:f>Patrimonio!$A$64</c:f>
              <c:strCache>
                <c:ptCount val="1"/>
                <c:pt idx="0">
                  <c:v>Promedio de patrimonios</c:v>
                </c:pt>
              </c:strCache>
            </c:strRef>
          </c:tx>
          <c:spPr>
            <a:solidFill>
              <a:srgbClr val="9999FF"/>
            </a:solidFill>
            <a:ln w="12687">
              <a:solidFill>
                <a:srgbClr val="000000"/>
              </a:solidFill>
              <a:prstDash val="solid"/>
            </a:ln>
          </c:spPr>
          <c:cat>
            <c:strRef>
              <c:f>Patrimonio!$B$63:$J$63</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Patrimonio!$B$64:$J$64</c:f>
              <c:numCache>
                <c:formatCode>General</c:formatCode>
                <c:ptCount val="9"/>
                <c:pt idx="0">
                  <c:v>3.21</c:v>
                </c:pt>
                <c:pt idx="1">
                  <c:v>-1.07</c:v>
                </c:pt>
                <c:pt idx="2">
                  <c:v>30.23</c:v>
                </c:pt>
                <c:pt idx="3">
                  <c:v>28.72</c:v>
                </c:pt>
                <c:pt idx="4">
                  <c:v>2.8699999999999997</c:v>
                </c:pt>
                <c:pt idx="5">
                  <c:v>12.78</c:v>
                </c:pt>
                <c:pt idx="6">
                  <c:v>14.49</c:v>
                </c:pt>
                <c:pt idx="7">
                  <c:v>9.64</c:v>
                </c:pt>
                <c:pt idx="8">
                  <c:v>1.6</c:v>
                </c:pt>
              </c:numCache>
            </c:numRef>
          </c:val>
        </c:ser>
        <c:shape val="box"/>
        <c:axId val="340311424"/>
        <c:axId val="340747392"/>
        <c:axId val="0"/>
      </c:bar3DChart>
      <c:catAx>
        <c:axId val="340311424"/>
        <c:scaling>
          <c:orientation val="minMax"/>
        </c:scaling>
        <c:axPos val="b"/>
        <c:numFmt formatCode="General" sourceLinked="1"/>
        <c:tickLblPos val="low"/>
        <c:spPr>
          <a:ln w="3172">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40747392"/>
        <c:crosses val="autoZero"/>
        <c:auto val="1"/>
        <c:lblAlgn val="ctr"/>
        <c:lblOffset val="100"/>
        <c:tickLblSkip val="1"/>
        <c:tickMarkSkip val="1"/>
      </c:catAx>
      <c:valAx>
        <c:axId val="340747392"/>
        <c:scaling>
          <c:orientation val="minMax"/>
        </c:scaling>
        <c:axPos val="l"/>
        <c:majorGridlines>
          <c:spPr>
            <a:ln w="3172">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t>Millones de dólares</a:t>
                </a:r>
              </a:p>
            </c:rich>
          </c:tx>
          <c:layout>
            <c:manualLayout>
              <c:xMode val="edge"/>
              <c:yMode val="edge"/>
              <c:x val="0.22696629213483158"/>
              <c:y val="0.21562500000000001"/>
            </c:manualLayout>
          </c:layout>
          <c:spPr>
            <a:noFill/>
            <a:ln w="25374">
              <a:noFill/>
            </a:ln>
          </c:spPr>
        </c:title>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40311424"/>
        <c:crosses val="autoZero"/>
        <c:crossBetween val="between"/>
      </c:valAx>
      <c:spPr>
        <a:noFill/>
        <a:ln w="25374">
          <a:noFill/>
        </a:ln>
      </c:spPr>
    </c:plotArea>
    <c:legend>
      <c:legendPos val="t"/>
      <c:layout>
        <c:manualLayout>
          <c:xMode val="edge"/>
          <c:yMode val="edge"/>
          <c:x val="0.31685393258426986"/>
          <c:y val="9.3750000000000066E-3"/>
          <c:w val="0.3640449438202249"/>
          <c:h val="7.1874999999999994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942791762013736"/>
          <c:y val="0.10955056179775281"/>
          <c:w val="0.72768878718535468"/>
          <c:h val="0.5646067415730337"/>
        </c:manualLayout>
      </c:layout>
      <c:bar3DChart>
        <c:barDir val="col"/>
        <c:grouping val="clustered"/>
        <c:ser>
          <c:idx val="0"/>
          <c:order val="0"/>
          <c:tx>
            <c:strRef>
              <c:f>Ventas!$A$64</c:f>
              <c:strCache>
                <c:ptCount val="1"/>
                <c:pt idx="0">
                  <c:v>Promedio de ventas</c:v>
                </c:pt>
              </c:strCache>
            </c:strRef>
          </c:tx>
          <c:spPr>
            <a:solidFill>
              <a:srgbClr val="9999FF"/>
            </a:solidFill>
            <a:ln w="12689">
              <a:solidFill>
                <a:srgbClr val="000000"/>
              </a:solidFill>
              <a:prstDash val="solid"/>
            </a:ln>
          </c:spPr>
          <c:cat>
            <c:strRef>
              <c:f>Ventas!$B$63:$J$63</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Ventas!$B$64:$J$64</c:f>
              <c:numCache>
                <c:formatCode>General</c:formatCode>
                <c:ptCount val="9"/>
                <c:pt idx="0">
                  <c:v>6.74</c:v>
                </c:pt>
                <c:pt idx="1">
                  <c:v>-4.76</c:v>
                </c:pt>
                <c:pt idx="2">
                  <c:v>48.760000000000012</c:v>
                </c:pt>
                <c:pt idx="3">
                  <c:v>8.8700000000000028</c:v>
                </c:pt>
                <c:pt idx="4">
                  <c:v>5.8199999999999985</c:v>
                </c:pt>
                <c:pt idx="5">
                  <c:v>49.18</c:v>
                </c:pt>
                <c:pt idx="6">
                  <c:v>15.58</c:v>
                </c:pt>
                <c:pt idx="7">
                  <c:v>8.76</c:v>
                </c:pt>
                <c:pt idx="8">
                  <c:v>2.2799999999999998</c:v>
                </c:pt>
              </c:numCache>
            </c:numRef>
          </c:val>
        </c:ser>
        <c:shape val="box"/>
        <c:axId val="340210816"/>
        <c:axId val="340212352"/>
        <c:axId val="0"/>
      </c:bar3DChart>
      <c:catAx>
        <c:axId val="340210816"/>
        <c:scaling>
          <c:orientation val="minMax"/>
        </c:scaling>
        <c:axPos val="b"/>
        <c:numFmt formatCode="General" sourceLinked="1"/>
        <c:tickLblPos val="low"/>
        <c:spPr>
          <a:ln w="3172">
            <a:solidFill>
              <a:srgbClr val="000000"/>
            </a:solidFill>
            <a:prstDash val="solid"/>
          </a:ln>
        </c:spPr>
        <c:txPr>
          <a:bodyPr rot="-2700000" vert="horz"/>
          <a:lstStyle/>
          <a:p>
            <a:pPr>
              <a:defRPr sz="874" b="0" i="0" u="none" strike="noStrike" baseline="0">
                <a:solidFill>
                  <a:srgbClr val="000000"/>
                </a:solidFill>
                <a:latin typeface="Arial"/>
                <a:ea typeface="Arial"/>
                <a:cs typeface="Arial"/>
              </a:defRPr>
            </a:pPr>
            <a:endParaRPr lang="es-ES"/>
          </a:p>
        </c:txPr>
        <c:crossAx val="340212352"/>
        <c:crosses val="autoZero"/>
        <c:auto val="1"/>
        <c:lblAlgn val="ctr"/>
        <c:lblOffset val="100"/>
        <c:tickLblSkip val="1"/>
        <c:tickMarkSkip val="1"/>
      </c:catAx>
      <c:valAx>
        <c:axId val="340212352"/>
        <c:scaling>
          <c:orientation val="minMax"/>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Millones de dólares</a:t>
                </a:r>
              </a:p>
            </c:rich>
          </c:tx>
          <c:layout>
            <c:manualLayout>
              <c:xMode val="edge"/>
              <c:yMode val="edge"/>
              <c:x val="0.19221967963386727"/>
              <c:y val="0.24157303370786526"/>
            </c:manualLayout>
          </c:layout>
          <c:spPr>
            <a:noFill/>
            <a:ln w="25377">
              <a:noFill/>
            </a:ln>
          </c:spPr>
        </c:title>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40210816"/>
        <c:crosses val="autoZero"/>
        <c:crossBetween val="between"/>
      </c:valAx>
      <c:spPr>
        <a:noFill/>
        <a:ln w="25377">
          <a:noFill/>
        </a:ln>
      </c:spPr>
    </c:plotArea>
    <c:legend>
      <c:legendPos val="t"/>
      <c:layout>
        <c:manualLayout>
          <c:xMode val="edge"/>
          <c:yMode val="edge"/>
          <c:x val="0.3478260869565219"/>
          <c:y val="8.4269662921348347E-3"/>
          <c:w val="0.3020594965675058"/>
          <c:h val="6.4606741573033713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885844748858446"/>
          <c:y val="0.11627906976744186"/>
          <c:w val="0.72831050228310523"/>
          <c:h val="0.54651162790697649"/>
        </c:manualLayout>
      </c:layout>
      <c:bar3DChart>
        <c:barDir val="col"/>
        <c:grouping val="clustered"/>
        <c:ser>
          <c:idx val="0"/>
          <c:order val="0"/>
          <c:tx>
            <c:strRef>
              <c:f>razones!$U$33</c:f>
              <c:strCache>
                <c:ptCount val="1"/>
                <c:pt idx="0">
                  <c:v>Promedio del endeudamiento</c:v>
                </c:pt>
              </c:strCache>
            </c:strRef>
          </c:tx>
          <c:spPr>
            <a:solidFill>
              <a:srgbClr val="9999FF"/>
            </a:solidFill>
            <a:ln w="12688">
              <a:solidFill>
                <a:srgbClr val="000000"/>
              </a:solidFill>
              <a:prstDash val="solid"/>
            </a:ln>
          </c:spPr>
          <c:cat>
            <c:strRef>
              <c:f>razones!$V$32:$AD$32</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razones!$V$33:$AD$33</c:f>
              <c:numCache>
                <c:formatCode>General</c:formatCode>
                <c:ptCount val="9"/>
                <c:pt idx="0">
                  <c:v>0.63000000000000023</c:v>
                </c:pt>
                <c:pt idx="1">
                  <c:v>0.84000000000000019</c:v>
                </c:pt>
                <c:pt idx="2">
                  <c:v>0.59</c:v>
                </c:pt>
                <c:pt idx="3">
                  <c:v>0.4200000000000001</c:v>
                </c:pt>
                <c:pt idx="4">
                  <c:v>0.81</c:v>
                </c:pt>
                <c:pt idx="5">
                  <c:v>0.70000000000000018</c:v>
                </c:pt>
                <c:pt idx="6">
                  <c:v>0.7300000000000002</c:v>
                </c:pt>
                <c:pt idx="7">
                  <c:v>0.68</c:v>
                </c:pt>
                <c:pt idx="8">
                  <c:v>0.56000000000000005</c:v>
                </c:pt>
              </c:numCache>
            </c:numRef>
          </c:val>
        </c:ser>
        <c:shape val="box"/>
        <c:axId val="341265024"/>
        <c:axId val="341668224"/>
        <c:axId val="0"/>
      </c:bar3DChart>
      <c:catAx>
        <c:axId val="341265024"/>
        <c:scaling>
          <c:orientation val="minMax"/>
        </c:scaling>
        <c:axPos val="b"/>
        <c:numFmt formatCode="General" sourceLinked="1"/>
        <c:tickLblPos val="low"/>
        <c:spPr>
          <a:ln w="3172">
            <a:solidFill>
              <a:srgbClr val="000000"/>
            </a:solidFill>
            <a:prstDash val="solid"/>
          </a:ln>
        </c:spPr>
        <c:txPr>
          <a:bodyPr rot="-2700000" vert="horz"/>
          <a:lstStyle/>
          <a:p>
            <a:pPr>
              <a:defRPr sz="874" b="0" i="0" u="none" strike="noStrike" baseline="0">
                <a:solidFill>
                  <a:srgbClr val="000000"/>
                </a:solidFill>
                <a:latin typeface="Arial"/>
                <a:ea typeface="Arial"/>
                <a:cs typeface="Arial"/>
              </a:defRPr>
            </a:pPr>
            <a:endParaRPr lang="es-ES"/>
          </a:p>
        </c:txPr>
        <c:crossAx val="341668224"/>
        <c:crosses val="autoZero"/>
        <c:auto val="1"/>
        <c:lblAlgn val="ctr"/>
        <c:lblOffset val="100"/>
        <c:tickLblSkip val="1"/>
        <c:tickMarkSkip val="1"/>
      </c:catAx>
      <c:valAx>
        <c:axId val="341668224"/>
        <c:scaling>
          <c:orientation val="minMax"/>
        </c:scaling>
        <c:axPos val="l"/>
        <c:majorGridlines>
          <c:spPr>
            <a:ln w="3172">
              <a:solidFill>
                <a:srgbClr val="000000"/>
              </a:solidFill>
              <a:prstDash val="solid"/>
            </a:ln>
          </c:spPr>
        </c:majorGridlines>
        <c:title>
          <c:tx>
            <c:rich>
              <a:bodyPr rot="0" vert="horz"/>
              <a:lstStyle/>
              <a:p>
                <a:pPr algn="ctr">
                  <a:defRPr sz="874" b="1" i="0" u="none" strike="noStrike" baseline="0">
                    <a:solidFill>
                      <a:srgbClr val="000000"/>
                    </a:solidFill>
                    <a:latin typeface="Arial"/>
                    <a:ea typeface="Arial"/>
                    <a:cs typeface="Arial"/>
                  </a:defRPr>
                </a:pPr>
                <a:r>
                  <a:t>Razón</a:t>
                </a:r>
              </a:p>
            </c:rich>
          </c:tx>
          <c:layout>
            <c:manualLayout>
              <c:xMode val="edge"/>
              <c:yMode val="edge"/>
              <c:x val="0.16666666666666666"/>
              <c:y val="0.37209302325581406"/>
            </c:manualLayout>
          </c:layout>
          <c:spPr>
            <a:noFill/>
            <a:ln w="25375">
              <a:noFill/>
            </a:ln>
          </c:spPr>
        </c:title>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41265024"/>
        <c:crosses val="autoZero"/>
        <c:crossBetween val="between"/>
      </c:valAx>
      <c:spPr>
        <a:noFill/>
        <a:ln w="25375">
          <a:noFill/>
        </a:ln>
      </c:spPr>
    </c:plotArea>
    <c:legend>
      <c:legendPos val="t"/>
      <c:layout>
        <c:manualLayout>
          <c:xMode val="edge"/>
          <c:yMode val="edge"/>
          <c:x val="0.28767123287671226"/>
          <c:y val="8.7209302325581446E-3"/>
          <c:w val="0.42465753424657526"/>
          <c:h val="6.6860465116279064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3277909738717345"/>
          <c:y val="0.10393258426966295"/>
          <c:w val="0.74346793349168661"/>
          <c:h val="0.601123595505618"/>
        </c:manualLayout>
      </c:layout>
      <c:bar3DChart>
        <c:barDir val="col"/>
        <c:grouping val="clustered"/>
        <c:ser>
          <c:idx val="0"/>
          <c:order val="0"/>
          <c:tx>
            <c:strRef>
              <c:f>razones!$U$63</c:f>
              <c:strCache>
                <c:ptCount val="1"/>
                <c:pt idx="0">
                  <c:v>Promedio de Participación en deudas</c:v>
                </c:pt>
              </c:strCache>
            </c:strRef>
          </c:tx>
          <c:spPr>
            <a:solidFill>
              <a:srgbClr val="9999FF"/>
            </a:solidFill>
            <a:ln w="12689">
              <a:solidFill>
                <a:srgbClr val="000000"/>
              </a:solidFill>
              <a:prstDash val="solid"/>
            </a:ln>
          </c:spPr>
          <c:cat>
            <c:strRef>
              <c:f>razones!$V$62:$AD$62</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razones!$V$63:$AD$63</c:f>
              <c:numCache>
                <c:formatCode>General</c:formatCode>
                <c:ptCount val="9"/>
                <c:pt idx="0">
                  <c:v>0.61000000000000021</c:v>
                </c:pt>
                <c:pt idx="1">
                  <c:v>0.22</c:v>
                </c:pt>
                <c:pt idx="2">
                  <c:v>0.69000000000000017</c:v>
                </c:pt>
                <c:pt idx="3">
                  <c:v>1.4</c:v>
                </c:pt>
                <c:pt idx="4">
                  <c:v>0.25</c:v>
                </c:pt>
                <c:pt idx="5">
                  <c:v>0.4200000000000001</c:v>
                </c:pt>
                <c:pt idx="6">
                  <c:v>0.4200000000000001</c:v>
                </c:pt>
                <c:pt idx="7">
                  <c:v>0.53</c:v>
                </c:pt>
                <c:pt idx="8">
                  <c:v>0.78</c:v>
                </c:pt>
              </c:numCache>
            </c:numRef>
          </c:val>
        </c:ser>
        <c:shape val="box"/>
        <c:axId val="341787008"/>
        <c:axId val="341788544"/>
        <c:axId val="0"/>
      </c:bar3DChart>
      <c:catAx>
        <c:axId val="341787008"/>
        <c:scaling>
          <c:orientation val="minMax"/>
        </c:scaling>
        <c:axPos val="b"/>
        <c:numFmt formatCode="General" sourceLinked="1"/>
        <c:tickLblPos val="low"/>
        <c:spPr>
          <a:ln w="3172">
            <a:solidFill>
              <a:srgbClr val="000000"/>
            </a:solidFill>
            <a:prstDash val="solid"/>
          </a:ln>
        </c:spPr>
        <c:txPr>
          <a:bodyPr rot="-2700000" vert="horz"/>
          <a:lstStyle/>
          <a:p>
            <a:pPr>
              <a:defRPr sz="849" b="0" i="0" u="none" strike="noStrike" baseline="0">
                <a:solidFill>
                  <a:srgbClr val="000000"/>
                </a:solidFill>
                <a:latin typeface="Arial"/>
                <a:ea typeface="Arial"/>
                <a:cs typeface="Arial"/>
              </a:defRPr>
            </a:pPr>
            <a:endParaRPr lang="es-ES"/>
          </a:p>
        </c:txPr>
        <c:crossAx val="341788544"/>
        <c:crosses val="autoZero"/>
        <c:auto val="1"/>
        <c:lblAlgn val="ctr"/>
        <c:lblOffset val="100"/>
        <c:tickLblSkip val="1"/>
        <c:tickMarkSkip val="1"/>
      </c:catAx>
      <c:valAx>
        <c:axId val="341788544"/>
        <c:scaling>
          <c:orientation val="minMax"/>
        </c:scaling>
        <c:axPos val="l"/>
        <c:majorGridlines>
          <c:spPr>
            <a:ln w="3172">
              <a:solidFill>
                <a:srgbClr val="000000"/>
              </a:solidFill>
              <a:prstDash val="solid"/>
            </a:ln>
          </c:spPr>
        </c:majorGridlines>
        <c:title>
          <c:tx>
            <c:rich>
              <a:bodyPr rot="0" vert="horz"/>
              <a:lstStyle/>
              <a:p>
                <a:pPr algn="ctr">
                  <a:defRPr sz="849" b="1" i="0" u="none" strike="noStrike" baseline="0">
                    <a:solidFill>
                      <a:srgbClr val="000000"/>
                    </a:solidFill>
                    <a:latin typeface="Arial"/>
                    <a:ea typeface="Arial"/>
                    <a:cs typeface="Arial"/>
                  </a:defRPr>
                </a:pPr>
                <a:r>
                  <a:t>Razón</a:t>
                </a:r>
              </a:p>
            </c:rich>
          </c:tx>
          <c:layout>
            <c:manualLayout>
              <c:xMode val="edge"/>
              <c:yMode val="edge"/>
              <c:x val="0.1330166270783848"/>
              <c:y val="0.39044943820224737"/>
            </c:manualLayout>
          </c:layout>
          <c:spPr>
            <a:noFill/>
            <a:ln w="25377">
              <a:noFill/>
            </a:ln>
          </c:spPr>
        </c:title>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341787008"/>
        <c:crosses val="autoZero"/>
        <c:crossBetween val="between"/>
      </c:valAx>
      <c:spPr>
        <a:noFill/>
        <a:ln w="25377">
          <a:noFill/>
        </a:ln>
      </c:spPr>
    </c:plotArea>
    <c:legend>
      <c:legendPos val="t"/>
      <c:layout>
        <c:manualLayout>
          <c:xMode val="edge"/>
          <c:yMode val="edge"/>
          <c:x val="0.26603325415676948"/>
          <c:y val="8.4269662921348347E-3"/>
          <c:w val="0.46793349168646081"/>
          <c:h val="6.179775280898879E-2"/>
        </c:manualLayout>
      </c:layout>
      <c:spPr>
        <a:solidFill>
          <a:srgbClr val="FFFFFF"/>
        </a:solidFill>
        <a:ln w="3172">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5112107623318375"/>
          <c:y val="0.16292134831460675"/>
          <c:w val="0.7219730941704039"/>
          <c:h val="0.5"/>
        </c:manualLayout>
      </c:layout>
      <c:bar3DChart>
        <c:barDir val="col"/>
        <c:grouping val="clustered"/>
        <c:ser>
          <c:idx val="0"/>
          <c:order val="0"/>
          <c:tx>
            <c:strRef>
              <c:f>razones!$U$94</c:f>
              <c:strCache>
                <c:ptCount val="1"/>
                <c:pt idx="0">
                  <c:v>Promedio de Participación accionaria</c:v>
                </c:pt>
              </c:strCache>
            </c:strRef>
          </c:tx>
          <c:spPr>
            <a:solidFill>
              <a:srgbClr val="9999FF"/>
            </a:solidFill>
            <a:ln w="12689">
              <a:solidFill>
                <a:srgbClr val="000000"/>
              </a:solidFill>
              <a:prstDash val="solid"/>
            </a:ln>
          </c:spPr>
          <c:cat>
            <c:strRef>
              <c:f>razones!$V$93:$AD$93</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razones!$V$94:$AD$94</c:f>
              <c:numCache>
                <c:formatCode>General</c:formatCode>
                <c:ptCount val="9"/>
                <c:pt idx="0">
                  <c:v>0.37000000000000011</c:v>
                </c:pt>
                <c:pt idx="1">
                  <c:v>0.15000000000000005</c:v>
                </c:pt>
                <c:pt idx="2">
                  <c:v>0.4</c:v>
                </c:pt>
                <c:pt idx="3">
                  <c:v>0.55000000000000004</c:v>
                </c:pt>
                <c:pt idx="4">
                  <c:v>0.18000000000000005</c:v>
                </c:pt>
                <c:pt idx="5">
                  <c:v>0.29000000000000009</c:v>
                </c:pt>
                <c:pt idx="6">
                  <c:v>0.27</c:v>
                </c:pt>
                <c:pt idx="7">
                  <c:v>0.31000000000000011</c:v>
                </c:pt>
                <c:pt idx="8">
                  <c:v>0.4300000000000001</c:v>
                </c:pt>
              </c:numCache>
            </c:numRef>
          </c:val>
        </c:ser>
        <c:shape val="box"/>
        <c:axId val="341821312"/>
        <c:axId val="341822848"/>
        <c:axId val="0"/>
      </c:bar3DChart>
      <c:catAx>
        <c:axId val="341821312"/>
        <c:scaling>
          <c:orientation val="minMax"/>
        </c:scaling>
        <c:axPos val="b"/>
        <c:numFmt formatCode="General" sourceLinked="1"/>
        <c:tickLblPos val="low"/>
        <c:spPr>
          <a:ln w="3172">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41822848"/>
        <c:crosses val="autoZero"/>
        <c:auto val="1"/>
        <c:lblAlgn val="ctr"/>
        <c:lblOffset val="100"/>
        <c:tickLblSkip val="1"/>
        <c:tickMarkSkip val="1"/>
      </c:catAx>
      <c:valAx>
        <c:axId val="341822848"/>
        <c:scaling>
          <c:orientation val="minMax"/>
        </c:scaling>
        <c:axPos val="l"/>
        <c:majorGridlines>
          <c:spPr>
            <a:ln w="3172">
              <a:solidFill>
                <a:srgbClr val="000000"/>
              </a:solidFill>
              <a:prstDash val="solid"/>
            </a:ln>
          </c:spPr>
        </c:majorGridlines>
        <c:title>
          <c:tx>
            <c:rich>
              <a:bodyPr rot="0" vert="horz"/>
              <a:lstStyle/>
              <a:p>
                <a:pPr algn="ctr">
                  <a:defRPr sz="899" b="1" i="0" u="none" strike="noStrike" baseline="0">
                    <a:solidFill>
                      <a:srgbClr val="000000"/>
                    </a:solidFill>
                    <a:latin typeface="Arial"/>
                    <a:ea typeface="Arial"/>
                    <a:cs typeface="Arial"/>
                  </a:defRPr>
                </a:pPr>
                <a:r>
                  <a:t>Razón</a:t>
                </a:r>
              </a:p>
            </c:rich>
          </c:tx>
          <c:layout>
            <c:manualLayout>
              <c:xMode val="edge"/>
              <c:yMode val="edge"/>
              <c:x val="0.17937219730941703"/>
              <c:y val="0.39325842696629226"/>
            </c:manualLayout>
          </c:layout>
          <c:spPr>
            <a:noFill/>
            <a:ln w="25377">
              <a:noFill/>
            </a:ln>
          </c:spPr>
        </c:title>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41821312"/>
        <c:crosses val="autoZero"/>
        <c:crossBetween val="between"/>
      </c:valAx>
      <c:spPr>
        <a:noFill/>
        <a:ln w="25377">
          <a:noFill/>
        </a:ln>
      </c:spPr>
    </c:plotArea>
    <c:legend>
      <c:legendPos val="t"/>
      <c:layout>
        <c:manualLayout>
          <c:xMode val="edge"/>
          <c:yMode val="edge"/>
          <c:x val="0.29372197309417053"/>
          <c:y val="1.6853932584269662E-2"/>
          <c:w val="0.60762331838565042"/>
          <c:h val="7.3033707865168537E-2"/>
        </c:manualLayout>
      </c:layout>
      <c:spPr>
        <a:solidFill>
          <a:srgbClr val="FFFFFF"/>
        </a:solidFill>
        <a:ln w="3172">
          <a:solidFill>
            <a:srgbClr val="000000"/>
          </a:solidFill>
          <a:prstDash val="solid"/>
        </a:ln>
      </c:spPr>
      <c:txPr>
        <a:bodyPr/>
        <a:lstStyle/>
        <a:p>
          <a:pPr>
            <a:defRPr sz="100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494382022471911"/>
          <c:y val="9.7989949748743713E-2"/>
          <c:w val="0.73258426966292112"/>
          <c:h val="0.60804020100502532"/>
        </c:manualLayout>
      </c:layout>
      <c:bar3DChart>
        <c:barDir val="col"/>
        <c:grouping val="clustered"/>
        <c:ser>
          <c:idx val="0"/>
          <c:order val="0"/>
          <c:tx>
            <c:strRef>
              <c:f>razones!$U$126</c:f>
              <c:strCache>
                <c:ptCount val="1"/>
                <c:pt idx="0">
                  <c:v>Promedio de Rendimiento sobre activo</c:v>
                </c:pt>
              </c:strCache>
            </c:strRef>
          </c:tx>
          <c:spPr>
            <a:solidFill>
              <a:srgbClr val="9999FF"/>
            </a:solidFill>
            <a:ln w="12690">
              <a:solidFill>
                <a:srgbClr val="000000"/>
              </a:solidFill>
              <a:prstDash val="solid"/>
            </a:ln>
          </c:spPr>
          <c:cat>
            <c:strRef>
              <c:f>razones!$V$125:$AD$125</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razones!$V$126:$AD$126</c:f>
              <c:numCache>
                <c:formatCode>General</c:formatCode>
                <c:ptCount val="9"/>
                <c:pt idx="0">
                  <c:v>0.66000000000000025</c:v>
                </c:pt>
                <c:pt idx="1">
                  <c:v>0.67000000000000026</c:v>
                </c:pt>
                <c:pt idx="2">
                  <c:v>0.91</c:v>
                </c:pt>
                <c:pt idx="3">
                  <c:v>0.23</c:v>
                </c:pt>
                <c:pt idx="4">
                  <c:v>0.64000000000000024</c:v>
                </c:pt>
                <c:pt idx="5">
                  <c:v>1.29</c:v>
                </c:pt>
                <c:pt idx="6">
                  <c:v>0.93</c:v>
                </c:pt>
                <c:pt idx="7">
                  <c:v>0.55000000000000004</c:v>
                </c:pt>
                <c:pt idx="8">
                  <c:v>0.91</c:v>
                </c:pt>
              </c:numCache>
            </c:numRef>
          </c:val>
        </c:ser>
        <c:shape val="box"/>
        <c:axId val="342351232"/>
        <c:axId val="343757952"/>
        <c:axId val="0"/>
      </c:bar3DChart>
      <c:catAx>
        <c:axId val="342351232"/>
        <c:scaling>
          <c:orientation val="minMax"/>
        </c:scaling>
        <c:axPos val="b"/>
        <c:numFmt formatCode="General" sourceLinked="1"/>
        <c:tickLblPos val="low"/>
        <c:spPr>
          <a:ln w="3173">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43757952"/>
        <c:crosses val="autoZero"/>
        <c:auto val="1"/>
        <c:lblAlgn val="ctr"/>
        <c:lblOffset val="100"/>
        <c:tickLblSkip val="1"/>
        <c:tickMarkSkip val="1"/>
      </c:catAx>
      <c:valAx>
        <c:axId val="343757952"/>
        <c:scaling>
          <c:orientation val="minMax"/>
        </c:scaling>
        <c:axPos val="l"/>
        <c:majorGridlines>
          <c:spPr>
            <a:ln w="3173">
              <a:solidFill>
                <a:srgbClr val="000000"/>
              </a:solidFill>
              <a:prstDash val="solid"/>
            </a:ln>
          </c:spPr>
        </c:majorGridlines>
        <c:title>
          <c:tx>
            <c:rich>
              <a:bodyPr rot="0" vert="horz"/>
              <a:lstStyle/>
              <a:p>
                <a:pPr algn="ctr">
                  <a:defRPr sz="899" b="1" i="0" u="none" strike="noStrike" baseline="0">
                    <a:solidFill>
                      <a:srgbClr val="000000"/>
                    </a:solidFill>
                    <a:latin typeface="Arial"/>
                    <a:ea typeface="Arial"/>
                    <a:cs typeface="Arial"/>
                  </a:defRPr>
                </a:pPr>
                <a:r>
                  <a:t>Razón</a:t>
                </a:r>
              </a:p>
            </c:rich>
          </c:tx>
          <c:layout>
            <c:manualLayout>
              <c:xMode val="edge"/>
              <c:yMode val="edge"/>
              <c:x val="0.1393258426966292"/>
              <c:y val="0.38693467336683446"/>
            </c:manualLayout>
          </c:layout>
          <c:spPr>
            <a:noFill/>
            <a:ln w="25381">
              <a:noFill/>
            </a:ln>
          </c:spPr>
        </c:title>
        <c:numFmt formatCode="General" sourceLinked="1"/>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42351232"/>
        <c:crosses val="autoZero"/>
        <c:crossBetween val="between"/>
      </c:valAx>
      <c:spPr>
        <a:noFill/>
        <a:ln w="25381">
          <a:noFill/>
        </a:ln>
      </c:spPr>
    </c:plotArea>
    <c:legend>
      <c:legendPos val="t"/>
      <c:layout>
        <c:manualLayout>
          <c:xMode val="edge"/>
          <c:yMode val="edge"/>
          <c:x val="0.23370786516853934"/>
          <c:y val="7.5376884422110584E-3"/>
          <c:w val="0.53033707865168545"/>
          <c:h val="5.7788944723618112E-2"/>
        </c:manualLayout>
      </c:layout>
      <c:spPr>
        <a:solidFill>
          <a:srgbClr val="FFFFFF"/>
        </a:solidFill>
        <a:ln w="3173">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4439461883408073"/>
          <c:y val="0.10955056179775281"/>
          <c:w val="0.73318385650224238"/>
          <c:h val="0.5646067415730337"/>
        </c:manualLayout>
      </c:layout>
      <c:bar3DChart>
        <c:barDir val="col"/>
        <c:grouping val="clustered"/>
        <c:ser>
          <c:idx val="0"/>
          <c:order val="0"/>
          <c:tx>
            <c:strRef>
              <c:f>razones!$U$160</c:f>
              <c:strCache>
                <c:ptCount val="1"/>
                <c:pt idx="0">
                  <c:v>Promedio de Rendimiento sobre patrimonio</c:v>
                </c:pt>
              </c:strCache>
            </c:strRef>
          </c:tx>
          <c:spPr>
            <a:solidFill>
              <a:srgbClr val="9999FF"/>
            </a:solidFill>
            <a:ln w="12689">
              <a:solidFill>
                <a:srgbClr val="000000"/>
              </a:solidFill>
              <a:prstDash val="solid"/>
            </a:ln>
          </c:spPr>
          <c:cat>
            <c:strRef>
              <c:f>razones!$V$159:$AD$159</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razones!$V$160:$AD$160</c:f>
              <c:numCache>
                <c:formatCode>General</c:formatCode>
                <c:ptCount val="9"/>
                <c:pt idx="0">
                  <c:v>1.79</c:v>
                </c:pt>
                <c:pt idx="1">
                  <c:v>-2.0499999999999998</c:v>
                </c:pt>
                <c:pt idx="2">
                  <c:v>2.34</c:v>
                </c:pt>
                <c:pt idx="3">
                  <c:v>0.4200000000000001</c:v>
                </c:pt>
                <c:pt idx="4">
                  <c:v>3.4499999999999997</c:v>
                </c:pt>
                <c:pt idx="5">
                  <c:v>4.9700000000000015</c:v>
                </c:pt>
                <c:pt idx="6">
                  <c:v>4.34</c:v>
                </c:pt>
                <c:pt idx="7">
                  <c:v>1.5</c:v>
                </c:pt>
                <c:pt idx="8">
                  <c:v>2.15</c:v>
                </c:pt>
              </c:numCache>
            </c:numRef>
          </c:val>
        </c:ser>
        <c:shape val="box"/>
        <c:axId val="342779008"/>
        <c:axId val="342780544"/>
        <c:axId val="0"/>
      </c:bar3DChart>
      <c:catAx>
        <c:axId val="342779008"/>
        <c:scaling>
          <c:orientation val="minMax"/>
        </c:scaling>
        <c:axPos val="b"/>
        <c:numFmt formatCode="General" sourceLinked="1"/>
        <c:tickLblPos val="low"/>
        <c:spPr>
          <a:ln w="3172">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42780544"/>
        <c:crosses val="autoZero"/>
        <c:auto val="1"/>
        <c:lblAlgn val="ctr"/>
        <c:lblOffset val="100"/>
        <c:tickLblSkip val="1"/>
        <c:tickMarkSkip val="1"/>
      </c:catAx>
      <c:valAx>
        <c:axId val="342780544"/>
        <c:scaling>
          <c:orientation val="minMax"/>
        </c:scaling>
        <c:axPos val="l"/>
        <c:majorGridlines>
          <c:spPr>
            <a:ln w="3172">
              <a:solidFill>
                <a:srgbClr val="000000"/>
              </a:solidFill>
              <a:prstDash val="solid"/>
            </a:ln>
          </c:spPr>
        </c:majorGridlines>
        <c:title>
          <c:tx>
            <c:rich>
              <a:bodyPr rot="0" vert="horz"/>
              <a:lstStyle/>
              <a:p>
                <a:pPr algn="ctr">
                  <a:defRPr sz="899" b="1" i="0" u="none" strike="noStrike" baseline="0">
                    <a:solidFill>
                      <a:srgbClr val="000000"/>
                    </a:solidFill>
                    <a:latin typeface="Arial"/>
                    <a:ea typeface="Arial"/>
                    <a:cs typeface="Arial"/>
                  </a:defRPr>
                </a:pPr>
                <a:r>
                  <a:t>Razón</a:t>
                </a:r>
              </a:p>
            </c:rich>
          </c:tx>
          <c:layout>
            <c:manualLayout>
              <c:xMode val="edge"/>
              <c:yMode val="edge"/>
              <c:x val="0.17488789237668168"/>
              <c:y val="0.37359550561797766"/>
            </c:manualLayout>
          </c:layout>
          <c:spPr>
            <a:noFill/>
            <a:ln w="25377">
              <a:noFill/>
            </a:ln>
          </c:spPr>
        </c:title>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42779008"/>
        <c:crosses val="autoZero"/>
        <c:crossBetween val="between"/>
      </c:valAx>
      <c:spPr>
        <a:noFill/>
        <a:ln w="25377">
          <a:noFill/>
        </a:ln>
      </c:spPr>
    </c:plotArea>
    <c:legend>
      <c:legendPos val="t"/>
      <c:layout>
        <c:manualLayout>
          <c:xMode val="edge"/>
          <c:yMode val="edge"/>
          <c:x val="0.20403587443946195"/>
          <c:y val="8.4269662921348347E-3"/>
          <c:w val="0.5919282511210765"/>
          <c:h val="6.4606741573033713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24" b="1" i="0" u="none" strike="noStrike" baseline="0">
                <a:solidFill>
                  <a:srgbClr val="000000"/>
                </a:solidFill>
                <a:latin typeface="Arial"/>
                <a:ea typeface="Arial"/>
                <a:cs typeface="Arial"/>
              </a:defRPr>
            </a:pPr>
            <a:r>
              <a:t>Importaciones por provincia y actividad (en millones de sucres)</a:t>
            </a:r>
          </a:p>
        </c:rich>
      </c:tx>
      <c:layout>
        <c:manualLayout>
          <c:xMode val="edge"/>
          <c:yMode val="edge"/>
          <c:x val="0.14739229024943318"/>
          <c:y val="2.0527859237536635E-2"/>
        </c:manualLayout>
      </c:layout>
      <c:spPr>
        <a:noFill/>
        <a:ln w="25375">
          <a:noFill/>
        </a:ln>
      </c:spPr>
    </c:title>
    <c:plotArea>
      <c:layout>
        <c:manualLayout>
          <c:layoutTarget val="inner"/>
          <c:xMode val="edge"/>
          <c:yMode val="edge"/>
          <c:x val="0.21995464852607721"/>
          <c:y val="0.27272727272727282"/>
          <c:w val="0.54875283446712042"/>
          <c:h val="0.47214076246334324"/>
        </c:manualLayout>
      </c:layout>
      <c:barChart>
        <c:barDir val="col"/>
        <c:grouping val="clustered"/>
        <c:ser>
          <c:idx val="0"/>
          <c:order val="0"/>
          <c:tx>
            <c:strRef>
              <c:f>Hoja1!$A$40</c:f>
              <c:strCache>
                <c:ptCount val="1"/>
                <c:pt idx="0">
                  <c:v>Pichincha</c:v>
                </c:pt>
              </c:strCache>
            </c:strRef>
          </c:tx>
          <c:spPr>
            <a:solidFill>
              <a:srgbClr val="9999FF"/>
            </a:solidFill>
            <a:ln w="12688">
              <a:solidFill>
                <a:srgbClr val="000000"/>
              </a:solidFill>
              <a:prstDash val="solid"/>
            </a:ln>
          </c:spPr>
          <c:cat>
            <c:strRef>
              <c:f>Hoja1!$B$39:$J$39</c:f>
              <c:strCache>
                <c:ptCount val="9"/>
                <c:pt idx="0">
                  <c:v>Agricultura</c:v>
                </c:pt>
                <c:pt idx="1">
                  <c:v>Minas</c:v>
                </c:pt>
                <c:pt idx="2">
                  <c:v>Industrias</c:v>
                </c:pt>
                <c:pt idx="3">
                  <c:v>Electricidad</c:v>
                </c:pt>
                <c:pt idx="4">
                  <c:v>Construcción </c:v>
                </c:pt>
                <c:pt idx="5">
                  <c:v>Comercio</c:v>
                </c:pt>
                <c:pt idx="6">
                  <c:v>Transporte</c:v>
                </c:pt>
                <c:pt idx="7">
                  <c:v>Serv. a emp.</c:v>
                </c:pt>
                <c:pt idx="8">
                  <c:v>Serv. a pers.</c:v>
                </c:pt>
              </c:strCache>
            </c:strRef>
          </c:cat>
          <c:val>
            <c:numRef>
              <c:f>Hoja1!$B$40:$J$40</c:f>
              <c:numCache>
                <c:formatCode>#,##0</c:formatCode>
                <c:ptCount val="9"/>
                <c:pt idx="0">
                  <c:v>58695</c:v>
                </c:pt>
                <c:pt idx="1">
                  <c:v>20569</c:v>
                </c:pt>
                <c:pt idx="2">
                  <c:v>4024339</c:v>
                </c:pt>
                <c:pt idx="3">
                  <c:v>14434</c:v>
                </c:pt>
                <c:pt idx="4">
                  <c:v>11824</c:v>
                </c:pt>
                <c:pt idx="5">
                  <c:v>2725431</c:v>
                </c:pt>
                <c:pt idx="6">
                  <c:v>350227</c:v>
                </c:pt>
                <c:pt idx="7">
                  <c:v>150636</c:v>
                </c:pt>
                <c:pt idx="8">
                  <c:v>35892</c:v>
                </c:pt>
              </c:numCache>
            </c:numRef>
          </c:val>
        </c:ser>
        <c:ser>
          <c:idx val="1"/>
          <c:order val="1"/>
          <c:tx>
            <c:strRef>
              <c:f>Hoja1!$A$41</c:f>
              <c:strCache>
                <c:ptCount val="1"/>
                <c:pt idx="0">
                  <c:v>Azuay</c:v>
                </c:pt>
              </c:strCache>
            </c:strRef>
          </c:tx>
          <c:spPr>
            <a:solidFill>
              <a:srgbClr val="993366"/>
            </a:solidFill>
            <a:ln w="12688">
              <a:solidFill>
                <a:srgbClr val="000000"/>
              </a:solidFill>
              <a:prstDash val="solid"/>
            </a:ln>
          </c:spPr>
          <c:cat>
            <c:strRef>
              <c:f>Hoja1!$B$39:$J$39</c:f>
              <c:strCache>
                <c:ptCount val="9"/>
                <c:pt idx="0">
                  <c:v>Agricultura</c:v>
                </c:pt>
                <c:pt idx="1">
                  <c:v>Minas</c:v>
                </c:pt>
                <c:pt idx="2">
                  <c:v>Industrias</c:v>
                </c:pt>
                <c:pt idx="3">
                  <c:v>Electricidad</c:v>
                </c:pt>
                <c:pt idx="4">
                  <c:v>Construcción </c:v>
                </c:pt>
                <c:pt idx="5">
                  <c:v>Comercio</c:v>
                </c:pt>
                <c:pt idx="6">
                  <c:v>Transporte</c:v>
                </c:pt>
                <c:pt idx="7">
                  <c:v>Serv. a emp.</c:v>
                </c:pt>
                <c:pt idx="8">
                  <c:v>Serv. a pers.</c:v>
                </c:pt>
              </c:strCache>
            </c:strRef>
          </c:cat>
          <c:val>
            <c:numRef>
              <c:f>Hoja1!$B$41:$J$41</c:f>
              <c:numCache>
                <c:formatCode>General</c:formatCode>
                <c:ptCount val="9"/>
                <c:pt idx="0" formatCode="#,##0">
                  <c:v>0</c:v>
                </c:pt>
                <c:pt idx="1">
                  <c:v>0</c:v>
                </c:pt>
                <c:pt idx="2" formatCode="#,##0">
                  <c:v>697107</c:v>
                </c:pt>
                <c:pt idx="3">
                  <c:v>0</c:v>
                </c:pt>
                <c:pt idx="4">
                  <c:v>0</c:v>
                </c:pt>
                <c:pt idx="5" formatCode="#,##0">
                  <c:v>288055</c:v>
                </c:pt>
                <c:pt idx="6">
                  <c:v>0</c:v>
                </c:pt>
                <c:pt idx="7">
                  <c:v>0</c:v>
                </c:pt>
                <c:pt idx="8">
                  <c:v>0</c:v>
                </c:pt>
              </c:numCache>
            </c:numRef>
          </c:val>
        </c:ser>
        <c:ser>
          <c:idx val="2"/>
          <c:order val="2"/>
          <c:tx>
            <c:strRef>
              <c:f>Hoja1!$A$42</c:f>
              <c:strCache>
                <c:ptCount val="1"/>
                <c:pt idx="0">
                  <c:v>Cotopaxi</c:v>
                </c:pt>
              </c:strCache>
            </c:strRef>
          </c:tx>
          <c:spPr>
            <a:solidFill>
              <a:srgbClr val="FFFFCC"/>
            </a:solidFill>
            <a:ln w="12688">
              <a:solidFill>
                <a:srgbClr val="000000"/>
              </a:solidFill>
              <a:prstDash val="solid"/>
            </a:ln>
          </c:spPr>
          <c:cat>
            <c:strRef>
              <c:f>Hoja1!$B$39:$J$39</c:f>
              <c:strCache>
                <c:ptCount val="9"/>
                <c:pt idx="0">
                  <c:v>Agricultura</c:v>
                </c:pt>
                <c:pt idx="1">
                  <c:v>Minas</c:v>
                </c:pt>
                <c:pt idx="2">
                  <c:v>Industrias</c:v>
                </c:pt>
                <c:pt idx="3">
                  <c:v>Electricidad</c:v>
                </c:pt>
                <c:pt idx="4">
                  <c:v>Construcción </c:v>
                </c:pt>
                <c:pt idx="5">
                  <c:v>Comercio</c:v>
                </c:pt>
                <c:pt idx="6">
                  <c:v>Transporte</c:v>
                </c:pt>
                <c:pt idx="7">
                  <c:v>Serv. a emp.</c:v>
                </c:pt>
                <c:pt idx="8">
                  <c:v>Serv. a pers.</c:v>
                </c:pt>
              </c:strCache>
            </c:strRef>
          </c:cat>
          <c:val>
            <c:numRef>
              <c:f>Hoja1!$B$42:$J$42</c:f>
              <c:numCache>
                <c:formatCode>General</c:formatCode>
                <c:ptCount val="9"/>
                <c:pt idx="0" formatCode="#,##0">
                  <c:v>0</c:v>
                </c:pt>
                <c:pt idx="1">
                  <c:v>0</c:v>
                </c:pt>
                <c:pt idx="2" formatCode="#,##0">
                  <c:v>234177</c:v>
                </c:pt>
                <c:pt idx="3">
                  <c:v>0</c:v>
                </c:pt>
                <c:pt idx="4">
                  <c:v>0</c:v>
                </c:pt>
                <c:pt idx="5">
                  <c:v>0</c:v>
                </c:pt>
                <c:pt idx="6">
                  <c:v>0</c:v>
                </c:pt>
                <c:pt idx="7">
                  <c:v>0</c:v>
                </c:pt>
                <c:pt idx="8">
                  <c:v>0</c:v>
                </c:pt>
              </c:numCache>
            </c:numRef>
          </c:val>
        </c:ser>
        <c:ser>
          <c:idx val="3"/>
          <c:order val="3"/>
          <c:tx>
            <c:strRef>
              <c:f>Hoja1!$A$43</c:f>
              <c:strCache>
                <c:ptCount val="1"/>
                <c:pt idx="0">
                  <c:v>Cañar </c:v>
                </c:pt>
              </c:strCache>
            </c:strRef>
          </c:tx>
          <c:spPr>
            <a:solidFill>
              <a:srgbClr val="CCFFFF"/>
            </a:solidFill>
            <a:ln w="12688">
              <a:solidFill>
                <a:srgbClr val="000000"/>
              </a:solidFill>
              <a:prstDash val="solid"/>
            </a:ln>
          </c:spPr>
          <c:cat>
            <c:strRef>
              <c:f>Hoja1!$B$39:$J$39</c:f>
              <c:strCache>
                <c:ptCount val="9"/>
                <c:pt idx="0">
                  <c:v>Agricultura</c:v>
                </c:pt>
                <c:pt idx="1">
                  <c:v>Minas</c:v>
                </c:pt>
                <c:pt idx="2">
                  <c:v>Industrias</c:v>
                </c:pt>
                <c:pt idx="3">
                  <c:v>Electricidad</c:v>
                </c:pt>
                <c:pt idx="4">
                  <c:v>Construcción </c:v>
                </c:pt>
                <c:pt idx="5">
                  <c:v>Comercio</c:v>
                </c:pt>
                <c:pt idx="6">
                  <c:v>Transporte</c:v>
                </c:pt>
                <c:pt idx="7">
                  <c:v>Serv. a emp.</c:v>
                </c:pt>
                <c:pt idx="8">
                  <c:v>Serv. a pers.</c:v>
                </c:pt>
              </c:strCache>
            </c:strRef>
          </c:cat>
          <c:val>
            <c:numRef>
              <c:f>Hoja1!$B$43:$J$43</c:f>
              <c:numCache>
                <c:formatCode>General</c:formatCode>
                <c:ptCount val="9"/>
                <c:pt idx="0" formatCode="#,##0">
                  <c:v>108079</c:v>
                </c:pt>
                <c:pt idx="1">
                  <c:v>0</c:v>
                </c:pt>
                <c:pt idx="2" formatCode="#,##0">
                  <c:v>0</c:v>
                </c:pt>
                <c:pt idx="3">
                  <c:v>0</c:v>
                </c:pt>
                <c:pt idx="4">
                  <c:v>0</c:v>
                </c:pt>
                <c:pt idx="5">
                  <c:v>0</c:v>
                </c:pt>
                <c:pt idx="6">
                  <c:v>0</c:v>
                </c:pt>
                <c:pt idx="7">
                  <c:v>0</c:v>
                </c:pt>
                <c:pt idx="8">
                  <c:v>0</c:v>
                </c:pt>
              </c:numCache>
            </c:numRef>
          </c:val>
        </c:ser>
        <c:ser>
          <c:idx val="4"/>
          <c:order val="4"/>
          <c:tx>
            <c:strRef>
              <c:f>Hoja1!$A$44</c:f>
              <c:strCache>
                <c:ptCount val="1"/>
                <c:pt idx="0">
                  <c:v>Tungurahua</c:v>
                </c:pt>
              </c:strCache>
            </c:strRef>
          </c:tx>
          <c:spPr>
            <a:solidFill>
              <a:srgbClr val="660066"/>
            </a:solidFill>
            <a:ln w="12688">
              <a:solidFill>
                <a:srgbClr val="000000"/>
              </a:solidFill>
              <a:prstDash val="solid"/>
            </a:ln>
          </c:spPr>
          <c:cat>
            <c:strRef>
              <c:f>Hoja1!$B$39:$J$39</c:f>
              <c:strCache>
                <c:ptCount val="9"/>
                <c:pt idx="0">
                  <c:v>Agricultura</c:v>
                </c:pt>
                <c:pt idx="1">
                  <c:v>Minas</c:v>
                </c:pt>
                <c:pt idx="2">
                  <c:v>Industrias</c:v>
                </c:pt>
                <c:pt idx="3">
                  <c:v>Electricidad</c:v>
                </c:pt>
                <c:pt idx="4">
                  <c:v>Construcción </c:v>
                </c:pt>
                <c:pt idx="5">
                  <c:v>Comercio</c:v>
                </c:pt>
                <c:pt idx="6">
                  <c:v>Transporte</c:v>
                </c:pt>
                <c:pt idx="7">
                  <c:v>Serv. a emp.</c:v>
                </c:pt>
                <c:pt idx="8">
                  <c:v>Serv. a pers.</c:v>
                </c:pt>
              </c:strCache>
            </c:strRef>
          </c:cat>
          <c:val>
            <c:numRef>
              <c:f>Hoja1!$B$44:$J$44</c:f>
              <c:numCache>
                <c:formatCode>General</c:formatCode>
                <c:ptCount val="9"/>
                <c:pt idx="0" formatCode="#,##0">
                  <c:v>0</c:v>
                </c:pt>
                <c:pt idx="1">
                  <c:v>0</c:v>
                </c:pt>
                <c:pt idx="2" formatCode="#,##0">
                  <c:v>84966</c:v>
                </c:pt>
                <c:pt idx="3">
                  <c:v>0</c:v>
                </c:pt>
                <c:pt idx="4">
                  <c:v>0</c:v>
                </c:pt>
                <c:pt idx="5" formatCode="#,##0">
                  <c:v>7167</c:v>
                </c:pt>
                <c:pt idx="6">
                  <c:v>0</c:v>
                </c:pt>
                <c:pt idx="7">
                  <c:v>0</c:v>
                </c:pt>
                <c:pt idx="8">
                  <c:v>0</c:v>
                </c:pt>
              </c:numCache>
            </c:numRef>
          </c:val>
        </c:ser>
        <c:ser>
          <c:idx val="5"/>
          <c:order val="5"/>
          <c:tx>
            <c:strRef>
              <c:f>Hoja1!$A$45</c:f>
              <c:strCache>
                <c:ptCount val="1"/>
                <c:pt idx="0">
                  <c:v>Imbabura</c:v>
                </c:pt>
              </c:strCache>
            </c:strRef>
          </c:tx>
          <c:spPr>
            <a:solidFill>
              <a:srgbClr val="FF8080"/>
            </a:solidFill>
            <a:ln w="12688">
              <a:solidFill>
                <a:srgbClr val="000000"/>
              </a:solidFill>
              <a:prstDash val="solid"/>
            </a:ln>
          </c:spPr>
          <c:cat>
            <c:strRef>
              <c:f>Hoja1!$B$39:$J$39</c:f>
              <c:strCache>
                <c:ptCount val="9"/>
                <c:pt idx="0">
                  <c:v>Agricultura</c:v>
                </c:pt>
                <c:pt idx="1">
                  <c:v>Minas</c:v>
                </c:pt>
                <c:pt idx="2">
                  <c:v>Industrias</c:v>
                </c:pt>
                <c:pt idx="3">
                  <c:v>Electricidad</c:v>
                </c:pt>
                <c:pt idx="4">
                  <c:v>Construcción </c:v>
                </c:pt>
                <c:pt idx="5">
                  <c:v>Comercio</c:v>
                </c:pt>
                <c:pt idx="6">
                  <c:v>Transporte</c:v>
                </c:pt>
                <c:pt idx="7">
                  <c:v>Serv. a emp.</c:v>
                </c:pt>
                <c:pt idx="8">
                  <c:v>Serv. a pers.</c:v>
                </c:pt>
              </c:strCache>
            </c:strRef>
          </c:cat>
          <c:val>
            <c:numRef>
              <c:f>Hoja1!$B$45:$J$45</c:f>
              <c:numCache>
                <c:formatCode>General</c:formatCode>
                <c:ptCount val="9"/>
                <c:pt idx="0" formatCode="#,##0">
                  <c:v>0</c:v>
                </c:pt>
                <c:pt idx="1">
                  <c:v>0</c:v>
                </c:pt>
                <c:pt idx="2" formatCode="#,##0">
                  <c:v>21087</c:v>
                </c:pt>
                <c:pt idx="3">
                  <c:v>0</c:v>
                </c:pt>
                <c:pt idx="4">
                  <c:v>0</c:v>
                </c:pt>
                <c:pt idx="5" formatCode="#,##0">
                  <c:v>159</c:v>
                </c:pt>
                <c:pt idx="6">
                  <c:v>0</c:v>
                </c:pt>
                <c:pt idx="7">
                  <c:v>0</c:v>
                </c:pt>
                <c:pt idx="8">
                  <c:v>0</c:v>
                </c:pt>
              </c:numCache>
            </c:numRef>
          </c:val>
        </c:ser>
        <c:axId val="330385280"/>
        <c:axId val="330386816"/>
      </c:barChart>
      <c:catAx>
        <c:axId val="330385280"/>
        <c:scaling>
          <c:orientation val="minMax"/>
        </c:scaling>
        <c:axPos val="b"/>
        <c:numFmt formatCode="General" sourceLinked="1"/>
        <c:tickLblPos val="nextTo"/>
        <c:spPr>
          <a:ln w="3172">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30386816"/>
        <c:crosses val="autoZero"/>
        <c:auto val="1"/>
        <c:lblAlgn val="ctr"/>
        <c:lblOffset val="100"/>
        <c:tickLblSkip val="1"/>
        <c:tickMarkSkip val="1"/>
      </c:catAx>
      <c:valAx>
        <c:axId val="330386816"/>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385280"/>
        <c:crosses val="autoZero"/>
        <c:crossBetween val="between"/>
      </c:valAx>
      <c:spPr>
        <a:solidFill>
          <a:srgbClr val="C0C0C0"/>
        </a:solidFill>
        <a:ln w="12688">
          <a:solidFill>
            <a:srgbClr val="808080"/>
          </a:solidFill>
          <a:prstDash val="solid"/>
        </a:ln>
      </c:spPr>
    </c:plotArea>
    <c:legend>
      <c:legendPos val="r"/>
      <c:layout>
        <c:manualLayout>
          <c:xMode val="edge"/>
          <c:yMode val="edge"/>
          <c:x val="0.80045351473922877"/>
          <c:y val="0.33724340175953088"/>
          <c:w val="0.1972789115646259"/>
          <c:h val="0.35483870967741954"/>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7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5112107623318375"/>
          <c:y val="0.14825581395348839"/>
          <c:w val="0.65470852017937264"/>
          <c:h val="0.50290697674418605"/>
        </c:manualLayout>
      </c:layout>
      <c:bar3DChart>
        <c:barDir val="col"/>
        <c:grouping val="clustered"/>
        <c:ser>
          <c:idx val="0"/>
          <c:order val="0"/>
          <c:tx>
            <c:strRef>
              <c:f>pib!$L$32</c:f>
              <c:strCache>
                <c:ptCount val="1"/>
                <c:pt idx="0">
                  <c:v>Promedio del PIB</c:v>
                </c:pt>
              </c:strCache>
            </c:strRef>
          </c:tx>
          <c:spPr>
            <a:solidFill>
              <a:srgbClr val="9999FF"/>
            </a:solidFill>
            <a:ln w="12688">
              <a:solidFill>
                <a:srgbClr val="000000"/>
              </a:solidFill>
              <a:prstDash val="solid"/>
            </a:ln>
          </c:spPr>
          <c:cat>
            <c:strRef>
              <c:f>pib!$M$31:$U$31</c:f>
              <c:strCache>
                <c:ptCount val="9"/>
                <c:pt idx="0">
                  <c:v>Agricultura</c:v>
                </c:pt>
                <c:pt idx="1">
                  <c:v>Minas y canteras</c:v>
                </c:pt>
                <c:pt idx="2">
                  <c:v>Industrias</c:v>
                </c:pt>
                <c:pt idx="3">
                  <c:v>Electricidad</c:v>
                </c:pt>
                <c:pt idx="4">
                  <c:v>Construcción</c:v>
                </c:pt>
                <c:pt idx="5">
                  <c:v>Comercio</c:v>
                </c:pt>
                <c:pt idx="6">
                  <c:v>Transportes</c:v>
                </c:pt>
                <c:pt idx="7">
                  <c:v>Servicios a empresas</c:v>
                </c:pt>
                <c:pt idx="8">
                  <c:v>Servicios personales</c:v>
                </c:pt>
              </c:strCache>
            </c:strRef>
          </c:cat>
          <c:val>
            <c:numRef>
              <c:f>pib!$M$32:$U$32</c:f>
              <c:numCache>
                <c:formatCode>General</c:formatCode>
                <c:ptCount val="9"/>
                <c:pt idx="0">
                  <c:v>25.93</c:v>
                </c:pt>
                <c:pt idx="1">
                  <c:v>24.439999999999994</c:v>
                </c:pt>
                <c:pt idx="2">
                  <c:v>66.319999999999993</c:v>
                </c:pt>
                <c:pt idx="3">
                  <c:v>0.25</c:v>
                </c:pt>
                <c:pt idx="4">
                  <c:v>12.67</c:v>
                </c:pt>
                <c:pt idx="5">
                  <c:v>55.94</c:v>
                </c:pt>
                <c:pt idx="6">
                  <c:v>31.32</c:v>
                </c:pt>
                <c:pt idx="7">
                  <c:v>11.25</c:v>
                </c:pt>
                <c:pt idx="8">
                  <c:v>38.050000000000004</c:v>
                </c:pt>
              </c:numCache>
            </c:numRef>
          </c:val>
        </c:ser>
        <c:shape val="box"/>
        <c:axId val="344795776"/>
        <c:axId val="344797568"/>
        <c:axId val="0"/>
      </c:bar3DChart>
      <c:catAx>
        <c:axId val="344795776"/>
        <c:scaling>
          <c:orientation val="minMax"/>
        </c:scaling>
        <c:axPos val="b"/>
        <c:numFmt formatCode="General" sourceLinked="1"/>
        <c:tickLblPos val="low"/>
        <c:spPr>
          <a:ln w="3172">
            <a:solidFill>
              <a:srgbClr val="000000"/>
            </a:solidFill>
            <a:prstDash val="solid"/>
          </a:ln>
        </c:spPr>
        <c:txPr>
          <a:bodyPr rot="-2700000" vert="horz"/>
          <a:lstStyle/>
          <a:p>
            <a:pPr>
              <a:defRPr sz="899" b="0" i="0" u="none" strike="noStrike" baseline="0">
                <a:solidFill>
                  <a:srgbClr val="000000"/>
                </a:solidFill>
                <a:latin typeface="Arial"/>
                <a:ea typeface="Arial"/>
                <a:cs typeface="Arial"/>
              </a:defRPr>
            </a:pPr>
            <a:endParaRPr lang="es-ES"/>
          </a:p>
        </c:txPr>
        <c:crossAx val="344797568"/>
        <c:crosses val="autoZero"/>
        <c:auto val="1"/>
        <c:lblAlgn val="ctr"/>
        <c:lblOffset val="100"/>
        <c:tickLblSkip val="1"/>
        <c:tickMarkSkip val="1"/>
      </c:catAx>
      <c:valAx>
        <c:axId val="344797568"/>
        <c:scaling>
          <c:orientation val="minMax"/>
        </c:scaling>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Millones de dólares</a:t>
                </a:r>
              </a:p>
            </c:rich>
          </c:tx>
          <c:layout>
            <c:manualLayout>
              <c:xMode val="edge"/>
              <c:yMode val="edge"/>
              <c:x val="0.21524663677130057"/>
              <c:y val="0.24709302325581395"/>
            </c:manualLayout>
          </c:layout>
          <c:spPr>
            <a:noFill/>
            <a:ln w="25375">
              <a:noFill/>
            </a:ln>
          </c:spPr>
        </c:title>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44795776"/>
        <c:crosses val="autoZero"/>
        <c:crossBetween val="between"/>
      </c:valAx>
      <c:spPr>
        <a:noFill/>
        <a:ln w="25375">
          <a:noFill/>
        </a:ln>
      </c:spPr>
    </c:plotArea>
    <c:legend>
      <c:legendPos val="t"/>
      <c:layout>
        <c:manualLayout>
          <c:xMode val="edge"/>
          <c:yMode val="edge"/>
          <c:x val="0.34977578475336335"/>
          <c:y val="1.7441860465116289E-2"/>
          <c:w val="0.2219730941704037"/>
          <c:h val="6.395348837209304E-2"/>
        </c:manualLayout>
      </c:layout>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24" b="1" i="0" u="none" strike="noStrike" baseline="0">
                <a:solidFill>
                  <a:srgbClr val="000000"/>
                </a:solidFill>
                <a:latin typeface="Arial"/>
                <a:ea typeface="Arial"/>
                <a:cs typeface="Arial"/>
              </a:defRPr>
            </a:pPr>
            <a:r>
              <a:t>Total de compañías por región</a:t>
            </a:r>
          </a:p>
        </c:rich>
      </c:tx>
      <c:layout>
        <c:manualLayout>
          <c:xMode val="edge"/>
          <c:yMode val="edge"/>
          <c:x val="0.17006802721088435"/>
          <c:y val="1.9774011299435044E-2"/>
        </c:manualLayout>
      </c:layout>
      <c:spPr>
        <a:noFill/>
        <a:ln w="25377">
          <a:noFill/>
        </a:ln>
      </c:spPr>
    </c:title>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3083900226757"/>
          <c:y val="0.15536723163841817"/>
          <c:w val="0.87301587301587347"/>
          <c:h val="0.64124293785310771"/>
        </c:manualLayout>
      </c:layout>
      <c:bar3DChart>
        <c:barDir val="col"/>
        <c:grouping val="clustered"/>
        <c:ser>
          <c:idx val="0"/>
          <c:order val="0"/>
          <c:spPr>
            <a:solidFill>
              <a:srgbClr val="9999FF"/>
            </a:solidFill>
            <a:ln w="12689">
              <a:solidFill>
                <a:srgbClr val="000000"/>
              </a:solidFill>
              <a:prstDash val="solid"/>
            </a:ln>
          </c:spPr>
          <c:cat>
            <c:strRef>
              <c:f>Hoja1!$A$53:$A$55</c:f>
              <c:strCache>
                <c:ptCount val="3"/>
                <c:pt idx="0">
                  <c:v>Sierra</c:v>
                </c:pt>
                <c:pt idx="1">
                  <c:v>Costa</c:v>
                </c:pt>
                <c:pt idx="2">
                  <c:v>Oriente</c:v>
                </c:pt>
              </c:strCache>
            </c:strRef>
          </c:cat>
          <c:val>
            <c:numRef>
              <c:f>Hoja1!$B$53:$B$55</c:f>
              <c:numCache>
                <c:formatCode>General</c:formatCode>
                <c:ptCount val="3"/>
                <c:pt idx="0">
                  <c:v>541</c:v>
                </c:pt>
                <c:pt idx="1">
                  <c:v>457</c:v>
                </c:pt>
                <c:pt idx="2">
                  <c:v>2</c:v>
                </c:pt>
              </c:numCache>
            </c:numRef>
          </c:val>
        </c:ser>
        <c:shape val="box"/>
        <c:axId val="330399104"/>
        <c:axId val="330450432"/>
        <c:axId val="0"/>
      </c:bar3DChart>
      <c:catAx>
        <c:axId val="330399104"/>
        <c:scaling>
          <c:orientation val="minMax"/>
        </c:scaling>
        <c:axPos val="b"/>
        <c:title>
          <c:tx>
            <c:rich>
              <a:bodyPr/>
              <a:lstStyle/>
              <a:p>
                <a:pPr>
                  <a:defRPr sz="1199" b="1" i="0" u="none" strike="noStrike" baseline="0">
                    <a:solidFill>
                      <a:srgbClr val="000000"/>
                    </a:solidFill>
                    <a:latin typeface="Arial"/>
                    <a:ea typeface="Arial"/>
                    <a:cs typeface="Arial"/>
                  </a:defRPr>
                </a:pPr>
                <a:r>
                  <a:t>Regiones</a:t>
                </a:r>
              </a:p>
            </c:rich>
          </c:tx>
          <c:layout>
            <c:manualLayout>
              <c:xMode val="edge"/>
              <c:yMode val="edge"/>
              <c:x val="0.41496598639455806"/>
              <c:y val="0.8757062146892659"/>
            </c:manualLayout>
          </c:layout>
          <c:spPr>
            <a:noFill/>
            <a:ln w="25377">
              <a:noFill/>
            </a:ln>
          </c:spPr>
        </c:title>
        <c:numFmt formatCode="General" sourceLinked="1"/>
        <c:tickLblPos val="low"/>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450432"/>
        <c:crosses val="autoZero"/>
        <c:auto val="1"/>
        <c:lblAlgn val="ctr"/>
        <c:lblOffset val="100"/>
        <c:tickLblSkip val="1"/>
        <c:tickMarkSkip val="1"/>
      </c:catAx>
      <c:valAx>
        <c:axId val="330450432"/>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399104"/>
        <c:crosses val="autoZero"/>
        <c:crossBetween val="between"/>
      </c:valAx>
      <c:spPr>
        <a:noFill/>
        <a:ln w="25377">
          <a:noFill/>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24" b="1" i="0" u="none" strike="noStrike" baseline="0">
                <a:solidFill>
                  <a:srgbClr val="000000"/>
                </a:solidFill>
                <a:latin typeface="Arial"/>
                <a:ea typeface="Arial"/>
                <a:cs typeface="Arial"/>
              </a:defRPr>
            </a:pPr>
            <a:r>
              <a:t>Total de número de empleos por región</a:t>
            </a:r>
          </a:p>
        </c:rich>
      </c:tx>
      <c:layout>
        <c:manualLayout>
          <c:xMode val="edge"/>
          <c:yMode val="edge"/>
          <c:x val="0.15192743764172351"/>
          <c:y val="1.9178082191780823E-2"/>
        </c:manualLayout>
      </c:layout>
      <c:spPr>
        <a:noFill/>
        <a:ln w="25377">
          <a:noFill/>
        </a:ln>
      </c:spPr>
    </c:title>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099773242630394"/>
          <c:y val="0.21917808219178087"/>
          <c:w val="0.80498866213151954"/>
          <c:h val="0.56712328767123288"/>
        </c:manualLayout>
      </c:layout>
      <c:bar3DChart>
        <c:barDir val="col"/>
        <c:grouping val="clustered"/>
        <c:ser>
          <c:idx val="0"/>
          <c:order val="0"/>
          <c:spPr>
            <a:solidFill>
              <a:srgbClr val="9999FF"/>
            </a:solidFill>
            <a:ln w="12688">
              <a:solidFill>
                <a:srgbClr val="000000"/>
              </a:solidFill>
              <a:prstDash val="solid"/>
            </a:ln>
          </c:spPr>
          <c:cat>
            <c:strRef>
              <c:f>Hoja1!$A$59:$A$61</c:f>
              <c:strCache>
                <c:ptCount val="3"/>
                <c:pt idx="0">
                  <c:v>Sierra</c:v>
                </c:pt>
                <c:pt idx="1">
                  <c:v>Costa</c:v>
                </c:pt>
                <c:pt idx="2">
                  <c:v>Oriente</c:v>
                </c:pt>
              </c:strCache>
            </c:strRef>
          </c:cat>
          <c:val>
            <c:numRef>
              <c:f>Hoja1!$B$59:$B$61</c:f>
              <c:numCache>
                <c:formatCode>#,##0</c:formatCode>
                <c:ptCount val="3"/>
                <c:pt idx="0">
                  <c:v>94921</c:v>
                </c:pt>
                <c:pt idx="1">
                  <c:v>52018</c:v>
                </c:pt>
                <c:pt idx="2" formatCode="General">
                  <c:v>208</c:v>
                </c:pt>
              </c:numCache>
            </c:numRef>
          </c:val>
        </c:ser>
        <c:shape val="box"/>
        <c:axId val="330577024"/>
        <c:axId val="330578944"/>
        <c:axId val="0"/>
      </c:bar3DChart>
      <c:catAx>
        <c:axId val="330577024"/>
        <c:scaling>
          <c:orientation val="minMax"/>
        </c:scaling>
        <c:axPos val="b"/>
        <c:title>
          <c:tx>
            <c:rich>
              <a:bodyPr/>
              <a:lstStyle/>
              <a:p>
                <a:pPr>
                  <a:defRPr sz="1199" b="1" i="0" u="none" strike="noStrike" baseline="0">
                    <a:solidFill>
                      <a:srgbClr val="000000"/>
                    </a:solidFill>
                    <a:latin typeface="Arial"/>
                    <a:ea typeface="Arial"/>
                    <a:cs typeface="Arial"/>
                  </a:defRPr>
                </a:pPr>
                <a:r>
                  <a:t>Regiones</a:t>
                </a:r>
              </a:p>
            </c:rich>
          </c:tx>
          <c:layout>
            <c:manualLayout>
              <c:xMode val="edge"/>
              <c:yMode val="edge"/>
              <c:x val="0.4376417233560092"/>
              <c:y val="0.86301369863013722"/>
            </c:manualLayout>
          </c:layout>
          <c:spPr>
            <a:noFill/>
            <a:ln w="25377">
              <a:noFill/>
            </a:ln>
          </c:spPr>
        </c:title>
        <c:numFmt formatCode="General" sourceLinked="1"/>
        <c:tickLblPos val="low"/>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578944"/>
        <c:crosses val="autoZero"/>
        <c:auto val="1"/>
        <c:lblAlgn val="ctr"/>
        <c:lblOffset val="100"/>
        <c:tickLblSkip val="1"/>
        <c:tickMarkSkip val="1"/>
      </c:catAx>
      <c:valAx>
        <c:axId val="330578944"/>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30577024"/>
        <c:crosses val="autoZero"/>
        <c:crossBetween val="between"/>
      </c:valAx>
      <c:spPr>
        <a:noFill/>
        <a:ln w="25377">
          <a:noFill/>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1" b="1" i="0" u="none" strike="noStrike" baseline="0">
                <a:solidFill>
                  <a:srgbClr val="000000"/>
                </a:solidFill>
                <a:latin typeface="Arial"/>
                <a:ea typeface="Arial"/>
                <a:cs typeface="Arial"/>
              </a:defRPr>
            </a:pPr>
            <a:r>
              <a:t>Exportaciones por región                          (millones de sucres)</a:t>
            </a:r>
          </a:p>
        </c:rich>
      </c:tx>
      <c:layout>
        <c:manualLayout>
          <c:xMode val="edge"/>
          <c:yMode val="edge"/>
          <c:x val="0.26463700234192028"/>
          <c:y val="2.1028037383177579E-2"/>
        </c:manualLayout>
      </c:layout>
      <c:spPr>
        <a:noFill/>
        <a:ln w="25421">
          <a:noFill/>
        </a:ln>
      </c:spPr>
    </c:title>
    <c:view3D>
      <c:hPercent val="8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084309133489462"/>
          <c:y val="0.17757009345794394"/>
          <c:w val="0.76814988290398167"/>
          <c:h val="0.65887850467289766"/>
        </c:manualLayout>
      </c:layout>
      <c:bar3DChart>
        <c:barDir val="col"/>
        <c:grouping val="clustered"/>
        <c:ser>
          <c:idx val="0"/>
          <c:order val="0"/>
          <c:spPr>
            <a:solidFill>
              <a:srgbClr val="9999FF"/>
            </a:solidFill>
            <a:ln w="12710">
              <a:solidFill>
                <a:srgbClr val="000000"/>
              </a:solidFill>
              <a:prstDash val="solid"/>
            </a:ln>
          </c:spPr>
          <c:cat>
            <c:strRef>
              <c:f>Hoja1!$A$65:$A$67</c:f>
              <c:strCache>
                <c:ptCount val="3"/>
                <c:pt idx="0">
                  <c:v>Sierra</c:v>
                </c:pt>
                <c:pt idx="1">
                  <c:v>Costa</c:v>
                </c:pt>
                <c:pt idx="2">
                  <c:v>Oriente</c:v>
                </c:pt>
              </c:strCache>
            </c:strRef>
          </c:cat>
          <c:val>
            <c:numRef>
              <c:f>Hoja1!$B$65:$B$67</c:f>
              <c:numCache>
                <c:formatCode>#,##0</c:formatCode>
                <c:ptCount val="3"/>
                <c:pt idx="0">
                  <c:v>3441335</c:v>
                </c:pt>
                <c:pt idx="1">
                  <c:v>10931986</c:v>
                </c:pt>
              </c:numCache>
            </c:numRef>
          </c:val>
        </c:ser>
        <c:shape val="box"/>
        <c:axId val="330791552"/>
        <c:axId val="330801920"/>
        <c:axId val="0"/>
      </c:bar3DChart>
      <c:catAx>
        <c:axId val="330791552"/>
        <c:scaling>
          <c:orientation val="minMax"/>
        </c:scaling>
        <c:axPos val="b"/>
        <c:title>
          <c:tx>
            <c:rich>
              <a:bodyPr/>
              <a:lstStyle/>
              <a:p>
                <a:pPr>
                  <a:defRPr sz="1151" b="1" i="0" u="none" strike="noStrike" baseline="0">
                    <a:solidFill>
                      <a:srgbClr val="000000"/>
                    </a:solidFill>
                    <a:latin typeface="Arial"/>
                    <a:ea typeface="Arial"/>
                    <a:cs typeface="Arial"/>
                  </a:defRPr>
                </a:pPr>
                <a:r>
                  <a:t>Regiones</a:t>
                </a:r>
              </a:p>
            </c:rich>
          </c:tx>
          <c:layout>
            <c:manualLayout>
              <c:xMode val="edge"/>
              <c:yMode val="edge"/>
              <c:x val="0.47072599531615938"/>
              <c:y val="0.89018691588785026"/>
            </c:manualLayout>
          </c:layout>
          <c:spPr>
            <a:noFill/>
            <a:ln w="25421">
              <a:noFill/>
            </a:ln>
          </c:spPr>
        </c:title>
        <c:numFmt formatCode="General" sourceLinked="1"/>
        <c:tickLblPos val="low"/>
        <c:spPr>
          <a:ln w="3178">
            <a:solidFill>
              <a:srgbClr val="000000"/>
            </a:solidFill>
            <a:prstDash val="solid"/>
          </a:ln>
        </c:spPr>
        <c:txPr>
          <a:bodyPr rot="0" vert="horz"/>
          <a:lstStyle/>
          <a:p>
            <a:pPr>
              <a:defRPr sz="1151" b="0" i="0" u="none" strike="noStrike" baseline="0">
                <a:solidFill>
                  <a:srgbClr val="000000"/>
                </a:solidFill>
                <a:latin typeface="Arial"/>
                <a:ea typeface="Arial"/>
                <a:cs typeface="Arial"/>
              </a:defRPr>
            </a:pPr>
            <a:endParaRPr lang="es-ES"/>
          </a:p>
        </c:txPr>
        <c:crossAx val="330801920"/>
        <c:crosses val="autoZero"/>
        <c:auto val="1"/>
        <c:lblAlgn val="ctr"/>
        <c:lblOffset val="100"/>
        <c:tickLblSkip val="1"/>
        <c:tickMarkSkip val="1"/>
      </c:catAx>
      <c:valAx>
        <c:axId val="330801920"/>
        <c:scaling>
          <c:orientation val="minMax"/>
        </c:scaling>
        <c:axPos val="l"/>
        <c:majorGridlines>
          <c:spPr>
            <a:ln w="3178">
              <a:solidFill>
                <a:srgbClr val="000000"/>
              </a:solidFill>
              <a:prstDash val="solid"/>
            </a:ln>
          </c:spPr>
        </c:majorGridlines>
        <c:numFmt formatCode="#,##0" sourceLinked="1"/>
        <c:tickLblPos val="nextTo"/>
        <c:spPr>
          <a:ln w="3178">
            <a:solidFill>
              <a:srgbClr val="000000"/>
            </a:solidFill>
            <a:prstDash val="solid"/>
          </a:ln>
        </c:spPr>
        <c:txPr>
          <a:bodyPr rot="0" vert="horz"/>
          <a:lstStyle/>
          <a:p>
            <a:pPr>
              <a:defRPr sz="1151" b="0" i="0" u="none" strike="noStrike" baseline="0">
                <a:solidFill>
                  <a:srgbClr val="000000"/>
                </a:solidFill>
                <a:latin typeface="Arial"/>
                <a:ea typeface="Arial"/>
                <a:cs typeface="Arial"/>
              </a:defRPr>
            </a:pPr>
            <a:endParaRPr lang="es-ES"/>
          </a:p>
        </c:txPr>
        <c:crossAx val="330791552"/>
        <c:crosses val="autoZero"/>
        <c:crossBetween val="between"/>
      </c:valAx>
      <c:spPr>
        <a:noFill/>
        <a:ln w="25421">
          <a:noFill/>
        </a:ln>
      </c:spPr>
    </c:plotArea>
    <c:plotVisOnly val="1"/>
    <c:dispBlanksAs val="gap"/>
  </c:chart>
  <c:spPr>
    <a:solidFill>
      <a:srgbClr val="FFFFFF"/>
    </a:solidFill>
    <a:ln w="3178">
      <a:solidFill>
        <a:srgbClr val="000000"/>
      </a:solidFill>
      <a:prstDash val="solid"/>
    </a:ln>
  </c:spPr>
  <c:txPr>
    <a:bodyPr/>
    <a:lstStyle/>
    <a:p>
      <a:pPr>
        <a:defRPr sz="1151"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Importaciones por región                            (millones de sucres)</a:t>
            </a:r>
          </a:p>
        </c:rich>
      </c:tx>
      <c:layout>
        <c:manualLayout>
          <c:xMode val="edge"/>
          <c:yMode val="edge"/>
          <c:x val="0.2680652680652682"/>
          <c:y val="2.0594965675057211E-2"/>
        </c:manualLayout>
      </c:layout>
      <c:spPr>
        <a:noFill/>
        <a:ln w="25381">
          <a:noFill/>
        </a:ln>
      </c:spPr>
    </c:title>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9114219114219125"/>
          <c:y val="0.17391304347826098"/>
          <c:w val="0.78554778554778559"/>
          <c:h val="0.66361556064073246"/>
        </c:manualLayout>
      </c:layout>
      <c:bar3DChart>
        <c:barDir val="col"/>
        <c:grouping val="clustered"/>
        <c:ser>
          <c:idx val="0"/>
          <c:order val="0"/>
          <c:spPr>
            <a:solidFill>
              <a:srgbClr val="9999FF"/>
            </a:solidFill>
            <a:ln w="12690">
              <a:solidFill>
                <a:srgbClr val="000000"/>
              </a:solidFill>
              <a:prstDash val="solid"/>
            </a:ln>
          </c:spPr>
          <c:cat>
            <c:strRef>
              <c:f>Hoja1!$A$72:$A$74</c:f>
              <c:strCache>
                <c:ptCount val="3"/>
                <c:pt idx="0">
                  <c:v>Sierra</c:v>
                </c:pt>
                <c:pt idx="1">
                  <c:v>Costa</c:v>
                </c:pt>
                <c:pt idx="2">
                  <c:v>Oriente</c:v>
                </c:pt>
              </c:strCache>
            </c:strRef>
          </c:cat>
          <c:val>
            <c:numRef>
              <c:f>Hoja1!$B$72:$B$74</c:f>
              <c:numCache>
                <c:formatCode>#,##0</c:formatCode>
                <c:ptCount val="3"/>
                <c:pt idx="0">
                  <c:v>8832852</c:v>
                </c:pt>
                <c:pt idx="1">
                  <c:v>6659937</c:v>
                </c:pt>
              </c:numCache>
            </c:numRef>
          </c:val>
        </c:ser>
        <c:shape val="box"/>
        <c:axId val="332091776"/>
        <c:axId val="332093696"/>
        <c:axId val="0"/>
      </c:bar3DChart>
      <c:catAx>
        <c:axId val="332091776"/>
        <c:scaling>
          <c:orientation val="minMax"/>
        </c:scaling>
        <c:axPos val="b"/>
        <c:title>
          <c:tx>
            <c:rich>
              <a:bodyPr/>
              <a:lstStyle/>
              <a:p>
                <a:pPr>
                  <a:defRPr sz="1149" b="1" i="0" u="none" strike="noStrike" baseline="0">
                    <a:solidFill>
                      <a:srgbClr val="000000"/>
                    </a:solidFill>
                    <a:latin typeface="Arial"/>
                    <a:ea typeface="Arial"/>
                    <a:cs typeface="Arial"/>
                  </a:defRPr>
                </a:pPr>
                <a:r>
                  <a:t>Regiones</a:t>
                </a:r>
              </a:p>
            </c:rich>
          </c:tx>
          <c:layout>
            <c:manualLayout>
              <c:xMode val="edge"/>
              <c:yMode val="edge"/>
              <c:x val="0.46153846153846168"/>
              <c:y val="0.89702517162471418"/>
            </c:manualLayout>
          </c:layout>
          <c:spPr>
            <a:noFill/>
            <a:ln w="25381">
              <a:noFill/>
            </a:ln>
          </c:spPr>
        </c:title>
        <c:numFmt formatCode="General" sourceLinked="1"/>
        <c:tickLblPos val="low"/>
        <c:spPr>
          <a:ln w="3173">
            <a:solidFill>
              <a:srgbClr val="000000"/>
            </a:solidFill>
            <a:prstDash val="solid"/>
          </a:ln>
        </c:spPr>
        <c:txPr>
          <a:bodyPr rot="0" vert="horz"/>
          <a:lstStyle/>
          <a:p>
            <a:pPr>
              <a:defRPr sz="1149" b="0" i="0" u="none" strike="noStrike" baseline="0">
                <a:solidFill>
                  <a:srgbClr val="000000"/>
                </a:solidFill>
                <a:latin typeface="Arial"/>
                <a:ea typeface="Arial"/>
                <a:cs typeface="Arial"/>
              </a:defRPr>
            </a:pPr>
            <a:endParaRPr lang="es-ES"/>
          </a:p>
        </c:txPr>
        <c:crossAx val="332093696"/>
        <c:crosses val="autoZero"/>
        <c:auto val="1"/>
        <c:lblAlgn val="ctr"/>
        <c:lblOffset val="100"/>
        <c:tickLblSkip val="1"/>
        <c:tickMarkSkip val="1"/>
      </c:catAx>
      <c:valAx>
        <c:axId val="332093696"/>
        <c:scaling>
          <c:orientation val="minMax"/>
        </c:scaling>
        <c:axPos val="l"/>
        <c:majorGridlines>
          <c:spPr>
            <a:ln w="3173">
              <a:solidFill>
                <a:srgbClr val="000000"/>
              </a:solidFill>
              <a:prstDash val="solid"/>
            </a:ln>
          </c:spPr>
        </c:majorGridlines>
        <c:numFmt formatCode="#,##0" sourceLinked="1"/>
        <c:tickLblPos val="nextTo"/>
        <c:spPr>
          <a:ln w="3173">
            <a:solidFill>
              <a:srgbClr val="000000"/>
            </a:solidFill>
            <a:prstDash val="solid"/>
          </a:ln>
        </c:spPr>
        <c:txPr>
          <a:bodyPr rot="0" vert="horz"/>
          <a:lstStyle/>
          <a:p>
            <a:pPr>
              <a:defRPr sz="1149" b="0" i="0" u="none" strike="noStrike" baseline="0">
                <a:solidFill>
                  <a:srgbClr val="000000"/>
                </a:solidFill>
                <a:latin typeface="Arial"/>
                <a:ea typeface="Arial"/>
                <a:cs typeface="Arial"/>
              </a:defRPr>
            </a:pPr>
            <a:endParaRPr lang="es-ES"/>
          </a:p>
        </c:txPr>
        <c:crossAx val="332091776"/>
        <c:crosses val="autoZero"/>
        <c:crossBetween val="between"/>
      </c:valAx>
      <c:spPr>
        <a:noFill/>
        <a:ln w="25381">
          <a:noFill/>
        </a:ln>
      </c:spPr>
    </c:plotArea>
    <c:plotVisOnly val="1"/>
    <c:dispBlanksAs val="gap"/>
  </c:chart>
  <c:spPr>
    <a:solidFill>
      <a:srgbClr val="FFFFFF"/>
    </a:solidFill>
    <a:ln w="3173">
      <a:solidFill>
        <a:srgbClr val="000000"/>
      </a:solidFill>
      <a:prstDash val="solid"/>
    </a:ln>
  </c:spPr>
  <c:txPr>
    <a:bodyPr/>
    <a:lstStyle/>
    <a:p>
      <a:pPr>
        <a:defRPr sz="114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8264840182648412"/>
          <c:y val="0.10983981693363846"/>
          <c:w val="0.79452054794520521"/>
          <c:h val="0.72311212814645287"/>
        </c:manualLayout>
      </c:layout>
      <c:lineChart>
        <c:grouping val="standard"/>
        <c:ser>
          <c:idx val="0"/>
          <c:order val="0"/>
          <c:tx>
            <c:strRef>
              <c:f>Variables!$B$2</c:f>
              <c:strCache>
                <c:ptCount val="1"/>
                <c:pt idx="0">
                  <c:v>Compañías</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numRef>
              <c:f>Variables!$A$3:$A$28</c:f>
              <c:numCache>
                <c:formatCode>General</c:formatCode>
                <c:ptCount val="2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numCache>
            </c:numRef>
          </c:cat>
          <c:val>
            <c:numRef>
              <c:f>Variables!$B$3:$B$28</c:f>
              <c:numCache>
                <c:formatCode>General</c:formatCode>
                <c:ptCount val="26"/>
                <c:pt idx="0">
                  <c:v>643</c:v>
                </c:pt>
                <c:pt idx="1">
                  <c:v>2011</c:v>
                </c:pt>
                <c:pt idx="2">
                  <c:v>2240</c:v>
                </c:pt>
                <c:pt idx="3">
                  <c:v>2328</c:v>
                </c:pt>
                <c:pt idx="4">
                  <c:v>2646</c:v>
                </c:pt>
                <c:pt idx="5">
                  <c:v>3058</c:v>
                </c:pt>
                <c:pt idx="6">
                  <c:v>3134</c:v>
                </c:pt>
                <c:pt idx="7">
                  <c:v>3659</c:v>
                </c:pt>
                <c:pt idx="8">
                  <c:v>3914</c:v>
                </c:pt>
                <c:pt idx="9">
                  <c:v>3844</c:v>
                </c:pt>
                <c:pt idx="10">
                  <c:v>4208</c:v>
                </c:pt>
                <c:pt idx="11">
                  <c:v>4668</c:v>
                </c:pt>
                <c:pt idx="12">
                  <c:v>4903</c:v>
                </c:pt>
                <c:pt idx="13">
                  <c:v>5362</c:v>
                </c:pt>
                <c:pt idx="14">
                  <c:v>5464</c:v>
                </c:pt>
                <c:pt idx="15">
                  <c:v>5841</c:v>
                </c:pt>
                <c:pt idx="16">
                  <c:v>6384</c:v>
                </c:pt>
                <c:pt idx="17">
                  <c:v>6743</c:v>
                </c:pt>
                <c:pt idx="18">
                  <c:v>7218</c:v>
                </c:pt>
                <c:pt idx="19">
                  <c:v>7806</c:v>
                </c:pt>
                <c:pt idx="20">
                  <c:v>8017</c:v>
                </c:pt>
                <c:pt idx="21">
                  <c:v>7989</c:v>
                </c:pt>
                <c:pt idx="22">
                  <c:v>8933</c:v>
                </c:pt>
                <c:pt idx="23">
                  <c:v>9028</c:v>
                </c:pt>
                <c:pt idx="24">
                  <c:v>9509</c:v>
                </c:pt>
                <c:pt idx="25">
                  <c:v>10331</c:v>
                </c:pt>
              </c:numCache>
            </c:numRef>
          </c:val>
        </c:ser>
        <c:marker val="1"/>
        <c:axId val="332113024"/>
        <c:axId val="332115328"/>
      </c:lineChart>
      <c:catAx>
        <c:axId val="332113024"/>
        <c:scaling>
          <c:orientation val="minMax"/>
        </c:scaling>
        <c:axPos val="b"/>
        <c:title>
          <c:tx>
            <c:rich>
              <a:bodyPr/>
              <a:lstStyle/>
              <a:p>
                <a:pPr>
                  <a:defRPr sz="874" b="1" i="0" u="none" strike="noStrike" baseline="0">
                    <a:solidFill>
                      <a:srgbClr val="000000"/>
                    </a:solidFill>
                    <a:latin typeface="Arial"/>
                    <a:ea typeface="Arial"/>
                    <a:cs typeface="Arial"/>
                  </a:defRPr>
                </a:pPr>
                <a:r>
                  <a:t>Años</a:t>
                </a:r>
              </a:p>
            </c:rich>
          </c:tx>
          <c:layout>
            <c:manualLayout>
              <c:xMode val="edge"/>
              <c:yMode val="edge"/>
              <c:x val="0.5433789954337902"/>
              <c:y val="0.92448512585812359"/>
            </c:manualLayout>
          </c:layout>
          <c:spPr>
            <a:noFill/>
            <a:ln w="25381">
              <a:noFill/>
            </a:ln>
          </c:spPr>
        </c:title>
        <c:numFmt formatCode="General" sourceLinked="1"/>
        <c:tickLblPos val="nextTo"/>
        <c:spPr>
          <a:ln w="3173">
            <a:solidFill>
              <a:srgbClr val="000000"/>
            </a:solidFill>
            <a:prstDash val="solid"/>
          </a:ln>
        </c:spPr>
        <c:txPr>
          <a:bodyPr rot="-5400000" vert="horz"/>
          <a:lstStyle/>
          <a:p>
            <a:pPr>
              <a:defRPr sz="874" b="0" i="0" u="none" strike="noStrike" baseline="0">
                <a:solidFill>
                  <a:srgbClr val="000000"/>
                </a:solidFill>
                <a:latin typeface="Arial"/>
                <a:ea typeface="Arial"/>
                <a:cs typeface="Arial"/>
              </a:defRPr>
            </a:pPr>
            <a:endParaRPr lang="es-ES"/>
          </a:p>
        </c:txPr>
        <c:crossAx val="332115328"/>
        <c:crosses val="autoZero"/>
        <c:auto val="1"/>
        <c:lblAlgn val="ctr"/>
        <c:lblOffset val="100"/>
        <c:tickLblSkip val="2"/>
        <c:tickMarkSkip val="1"/>
      </c:catAx>
      <c:valAx>
        <c:axId val="332115328"/>
        <c:scaling>
          <c:orientation val="minMax"/>
        </c:scaling>
        <c:axPos val="l"/>
        <c:majorGridlines>
          <c:spPr>
            <a:ln w="3173">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Cantidad</a:t>
                </a:r>
              </a:p>
            </c:rich>
          </c:tx>
          <c:layout>
            <c:manualLayout>
              <c:xMode val="edge"/>
              <c:yMode val="edge"/>
              <c:x val="2.5114155251141548E-2"/>
              <c:y val="0.40961098398169354"/>
            </c:manualLayout>
          </c:layout>
          <c:spPr>
            <a:noFill/>
            <a:ln w="25381">
              <a:noFill/>
            </a:ln>
          </c:spPr>
        </c:title>
        <c:numFmt formatCode="General"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32113024"/>
        <c:crosses val="autoZero"/>
        <c:crossBetween val="between"/>
      </c:valAx>
      <c:spPr>
        <a:solidFill>
          <a:srgbClr val="C0C0C0"/>
        </a:solidFill>
        <a:ln w="12690">
          <a:solidFill>
            <a:srgbClr val="808080"/>
          </a:solidFill>
          <a:prstDash val="solid"/>
        </a:ln>
      </c:spPr>
    </c:plotArea>
    <c:legend>
      <c:legendPos val="t"/>
      <c:layout>
        <c:manualLayout>
          <c:xMode val="edge"/>
          <c:yMode val="edge"/>
          <c:x val="0.45890410958904132"/>
          <c:y val="6.8649885583523997E-3"/>
          <c:w val="0.24200913242009145"/>
          <c:h val="5.2631578947368432E-2"/>
        </c:manualLayout>
      </c:layout>
      <c:spPr>
        <a:solidFill>
          <a:srgbClr val="FFFFFF"/>
        </a:solidFill>
        <a:ln w="3173">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18943</Words>
  <Characters>104187</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CAPÍTULO 1</vt:lpstr>
    </vt:vector>
  </TitlesOfParts>
  <Company>Guisela Drouet Yance</Company>
  <LinksUpToDate>false</LinksUpToDate>
  <CharactersWithSpaces>122885</CharactersWithSpaces>
  <SharedDoc>false</SharedDoc>
  <HLinks>
    <vt:vector size="6" baseType="variant">
      <vt:variant>
        <vt:i4>1179717</vt:i4>
      </vt:variant>
      <vt:variant>
        <vt:i4>124261</vt:i4>
      </vt:variant>
      <vt:variant>
        <vt:i4>1059</vt:i4>
      </vt:variant>
      <vt:variant>
        <vt:i4>1</vt:i4>
      </vt:variant>
      <vt:variant>
        <vt:lpwstr>http://www.explored.com.ec/ecuador/grafico1/ecua.gif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Guisela Drouet Yance</dc:creator>
  <cp:keywords/>
  <dc:description/>
  <cp:lastModifiedBy>Ayudante</cp:lastModifiedBy>
  <cp:revision>2</cp:revision>
  <cp:lastPrinted>2001-04-27T15:19:00Z</cp:lastPrinted>
  <dcterms:created xsi:type="dcterms:W3CDTF">2009-07-02T15:48:00Z</dcterms:created>
  <dcterms:modified xsi:type="dcterms:W3CDTF">2009-07-02T15:48:00Z</dcterms:modified>
</cp:coreProperties>
</file>