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CE" w:rsidRDefault="006B40CE" w:rsidP="00F62682">
      <w:pPr>
        <w:jc w:val="center"/>
        <w:rPr>
          <w:b/>
          <w:sz w:val="48"/>
          <w:szCs w:val="48"/>
        </w:rPr>
      </w:pPr>
    </w:p>
    <w:p w:rsidR="006B40CE" w:rsidRDefault="006B40CE" w:rsidP="00F62682">
      <w:pPr>
        <w:jc w:val="center"/>
        <w:rPr>
          <w:b/>
          <w:sz w:val="48"/>
          <w:szCs w:val="48"/>
        </w:rPr>
      </w:pPr>
    </w:p>
    <w:p w:rsidR="006B40CE" w:rsidRDefault="006B40CE" w:rsidP="00F62682">
      <w:pPr>
        <w:jc w:val="center"/>
        <w:rPr>
          <w:b/>
          <w:sz w:val="48"/>
          <w:szCs w:val="48"/>
        </w:rPr>
      </w:pPr>
    </w:p>
    <w:p w:rsidR="006B40CE" w:rsidRDefault="006B40CE" w:rsidP="00F62682">
      <w:pPr>
        <w:jc w:val="center"/>
        <w:rPr>
          <w:b/>
          <w:sz w:val="48"/>
          <w:szCs w:val="48"/>
        </w:rPr>
      </w:pPr>
    </w:p>
    <w:p w:rsidR="006B40CE" w:rsidRDefault="006B40CE" w:rsidP="00F62682">
      <w:pPr>
        <w:jc w:val="center"/>
        <w:rPr>
          <w:b/>
          <w:sz w:val="48"/>
          <w:szCs w:val="48"/>
        </w:rPr>
      </w:pPr>
    </w:p>
    <w:p w:rsidR="006B40CE" w:rsidRDefault="006B40CE" w:rsidP="00F62682">
      <w:pPr>
        <w:jc w:val="center"/>
        <w:rPr>
          <w:b/>
          <w:sz w:val="48"/>
          <w:szCs w:val="48"/>
        </w:rPr>
      </w:pPr>
    </w:p>
    <w:p w:rsidR="006B40CE" w:rsidRDefault="006B40CE" w:rsidP="00F62682">
      <w:pPr>
        <w:jc w:val="center"/>
        <w:rPr>
          <w:b/>
          <w:sz w:val="48"/>
          <w:szCs w:val="48"/>
        </w:rPr>
      </w:pPr>
    </w:p>
    <w:p w:rsidR="006B40CE" w:rsidRPr="00A779DD" w:rsidRDefault="006B40CE" w:rsidP="00F62682">
      <w:pPr>
        <w:jc w:val="center"/>
        <w:rPr>
          <w:b/>
          <w:sz w:val="48"/>
          <w:szCs w:val="48"/>
        </w:rPr>
      </w:pPr>
    </w:p>
    <w:p w:rsidR="006B40CE" w:rsidRPr="00A779DD" w:rsidRDefault="006B40CE" w:rsidP="00F62682">
      <w:pPr>
        <w:jc w:val="center"/>
        <w:rPr>
          <w:rFonts w:ascii="Arial" w:hAnsi="Arial" w:cs="Arial"/>
          <w:b/>
          <w:sz w:val="48"/>
          <w:szCs w:val="48"/>
        </w:rPr>
      </w:pPr>
    </w:p>
    <w:p w:rsidR="00F62682" w:rsidRPr="00A779DD" w:rsidRDefault="00F62682" w:rsidP="00F62682">
      <w:pPr>
        <w:jc w:val="center"/>
        <w:rPr>
          <w:rFonts w:ascii="Arial" w:hAnsi="Arial" w:cs="Arial"/>
          <w:b/>
          <w:sz w:val="48"/>
          <w:szCs w:val="48"/>
        </w:rPr>
      </w:pPr>
      <w:r w:rsidRPr="00A779DD">
        <w:rPr>
          <w:rFonts w:ascii="Arial" w:hAnsi="Arial" w:cs="Arial"/>
          <w:b/>
          <w:sz w:val="48"/>
          <w:szCs w:val="48"/>
        </w:rPr>
        <w:t>CAPÍTULO  V</w:t>
      </w:r>
    </w:p>
    <w:p w:rsidR="00F62682" w:rsidRPr="00A779DD" w:rsidRDefault="00F62682" w:rsidP="00F62682">
      <w:pPr>
        <w:jc w:val="center"/>
        <w:rPr>
          <w:rFonts w:ascii="Arial" w:hAnsi="Arial" w:cs="Arial"/>
          <w:b/>
          <w:sz w:val="48"/>
          <w:szCs w:val="48"/>
        </w:rPr>
      </w:pPr>
    </w:p>
    <w:p w:rsidR="00F62682" w:rsidRPr="00A779DD" w:rsidRDefault="00F62682" w:rsidP="00F62682">
      <w:pPr>
        <w:jc w:val="center"/>
        <w:rPr>
          <w:rFonts w:ascii="Arial" w:hAnsi="Arial" w:cs="Arial"/>
          <w:b/>
        </w:rPr>
      </w:pPr>
    </w:p>
    <w:p w:rsidR="00F62682" w:rsidRPr="00A779DD" w:rsidRDefault="00F62682" w:rsidP="00F62682">
      <w:pPr>
        <w:jc w:val="center"/>
        <w:rPr>
          <w:rFonts w:ascii="Arial" w:hAnsi="Arial" w:cs="Arial"/>
          <w:b/>
        </w:rPr>
      </w:pPr>
    </w:p>
    <w:p w:rsidR="006B40CE" w:rsidRPr="00A779DD" w:rsidRDefault="006B40CE" w:rsidP="00F62682">
      <w:pPr>
        <w:jc w:val="center"/>
        <w:rPr>
          <w:rFonts w:ascii="Arial" w:hAnsi="Arial" w:cs="Arial"/>
          <w:b/>
        </w:rPr>
      </w:pPr>
    </w:p>
    <w:p w:rsidR="006B40CE" w:rsidRPr="00A779DD" w:rsidRDefault="006B40CE" w:rsidP="00F62682">
      <w:pPr>
        <w:jc w:val="center"/>
        <w:rPr>
          <w:rFonts w:ascii="Arial" w:hAnsi="Arial" w:cs="Arial"/>
          <w:b/>
        </w:rPr>
      </w:pPr>
    </w:p>
    <w:p w:rsidR="006B40CE" w:rsidRPr="00A779DD" w:rsidRDefault="006B40CE" w:rsidP="00F62682">
      <w:pPr>
        <w:jc w:val="center"/>
        <w:rPr>
          <w:rFonts w:ascii="Arial" w:hAnsi="Arial" w:cs="Arial"/>
          <w:b/>
        </w:rPr>
      </w:pPr>
    </w:p>
    <w:p w:rsidR="006B40CE" w:rsidRPr="00A779DD" w:rsidRDefault="006B40CE" w:rsidP="00F62682">
      <w:pPr>
        <w:jc w:val="center"/>
        <w:rPr>
          <w:rFonts w:ascii="Arial" w:hAnsi="Arial" w:cs="Arial"/>
          <w:b/>
        </w:rPr>
      </w:pPr>
    </w:p>
    <w:p w:rsidR="00F62682" w:rsidRPr="00A779DD" w:rsidRDefault="00F62682" w:rsidP="00F62682">
      <w:pPr>
        <w:jc w:val="center"/>
        <w:rPr>
          <w:rFonts w:ascii="Arial" w:hAnsi="Arial" w:cs="Arial"/>
          <w:b/>
          <w:sz w:val="40"/>
          <w:szCs w:val="40"/>
        </w:rPr>
      </w:pPr>
      <w:r w:rsidRPr="00A779DD">
        <w:rPr>
          <w:rFonts w:ascii="Arial" w:hAnsi="Arial" w:cs="Arial"/>
          <w:b/>
          <w:sz w:val="40"/>
          <w:szCs w:val="40"/>
        </w:rPr>
        <w:t>EVALUACIÓN FINANCIERA</w:t>
      </w:r>
    </w:p>
    <w:p w:rsidR="00F62682" w:rsidRPr="00A779DD" w:rsidRDefault="00F62682" w:rsidP="00F62682">
      <w:pPr>
        <w:jc w:val="center"/>
        <w:rPr>
          <w:rFonts w:ascii="Arial" w:hAnsi="Arial" w:cs="Arial"/>
          <w:b/>
        </w:rPr>
      </w:pPr>
    </w:p>
    <w:p w:rsidR="006B40CE" w:rsidRPr="00A779DD" w:rsidRDefault="006B40CE" w:rsidP="006B40CE">
      <w:pPr>
        <w:spacing w:line="480" w:lineRule="auto"/>
        <w:jc w:val="both"/>
        <w:rPr>
          <w:rFonts w:ascii="Arial" w:hAnsi="Arial" w:cs="Arial"/>
        </w:rPr>
      </w:pPr>
    </w:p>
    <w:p w:rsidR="00042C9E" w:rsidRPr="00A779DD" w:rsidRDefault="00852963" w:rsidP="006B40CE">
      <w:pPr>
        <w:spacing w:line="480" w:lineRule="auto"/>
        <w:jc w:val="both"/>
        <w:rPr>
          <w:rFonts w:ascii="Arial" w:hAnsi="Arial" w:cs="Arial"/>
        </w:rPr>
      </w:pPr>
      <w:r w:rsidRPr="00A779DD">
        <w:rPr>
          <w:rFonts w:ascii="Arial" w:hAnsi="Arial" w:cs="Arial"/>
        </w:rPr>
        <w:t>El</w:t>
      </w:r>
      <w:r w:rsidR="00042C9E" w:rsidRPr="00A779DD">
        <w:rPr>
          <w:rFonts w:ascii="Arial" w:hAnsi="Arial" w:cs="Arial"/>
        </w:rPr>
        <w:t xml:space="preserve"> objetivo principal de este capítulo es realizar un análisis económico y financiero que demuestre a base de indicadores económicos que el proye</w:t>
      </w:r>
      <w:r w:rsidR="001E3934" w:rsidRPr="00A779DD">
        <w:rPr>
          <w:rFonts w:ascii="Arial" w:hAnsi="Arial" w:cs="Arial"/>
        </w:rPr>
        <w:t>cto es factible; p</w:t>
      </w:r>
      <w:r w:rsidR="00042C9E" w:rsidRPr="00A779DD">
        <w:rPr>
          <w:rFonts w:ascii="Arial" w:hAnsi="Arial" w:cs="Arial"/>
        </w:rPr>
        <w:t>or lo que se  procederá a analizar los costos del servicio de aseo urbano y los ingr</w:t>
      </w:r>
      <w:r w:rsidRPr="00A779DD">
        <w:rPr>
          <w:rFonts w:ascii="Arial" w:hAnsi="Arial" w:cs="Arial"/>
        </w:rPr>
        <w:t xml:space="preserve">esos por el servicio prestado, </w:t>
      </w:r>
      <w:r w:rsidR="00042C9E" w:rsidRPr="00A779DD">
        <w:rPr>
          <w:rFonts w:ascii="Arial" w:hAnsi="Arial" w:cs="Arial"/>
        </w:rPr>
        <w:t>med</w:t>
      </w:r>
      <w:r w:rsidRPr="00A779DD">
        <w:rPr>
          <w:rFonts w:ascii="Arial" w:hAnsi="Arial" w:cs="Arial"/>
        </w:rPr>
        <w:t xml:space="preserve">iante una evaluación </w:t>
      </w:r>
      <w:r w:rsidR="00042C9E" w:rsidRPr="00A779DD">
        <w:rPr>
          <w:rFonts w:ascii="Arial" w:hAnsi="Arial" w:cs="Arial"/>
        </w:rPr>
        <w:t>a</w:t>
      </w:r>
      <w:r w:rsidR="002D1C02" w:rsidRPr="00A779DD">
        <w:rPr>
          <w:rFonts w:ascii="Arial" w:hAnsi="Arial" w:cs="Arial"/>
        </w:rPr>
        <w:t>plicando estados financieros e índices de valoración</w:t>
      </w:r>
      <w:r w:rsidR="00A346F7" w:rsidRPr="00A779DD">
        <w:rPr>
          <w:rFonts w:ascii="Arial" w:hAnsi="Arial" w:cs="Arial"/>
        </w:rPr>
        <w:t>.</w:t>
      </w:r>
    </w:p>
    <w:p w:rsidR="00852963" w:rsidRPr="00A779DD" w:rsidRDefault="00852963" w:rsidP="00EF014E">
      <w:pPr>
        <w:jc w:val="both"/>
        <w:rPr>
          <w:rFonts w:ascii="Arial" w:hAnsi="Arial" w:cs="Arial"/>
          <w:b/>
          <w:sz w:val="28"/>
          <w:szCs w:val="28"/>
        </w:rPr>
      </w:pPr>
    </w:p>
    <w:p w:rsidR="00852963" w:rsidRPr="00A779DD" w:rsidRDefault="00852963" w:rsidP="00EF014E">
      <w:pPr>
        <w:jc w:val="both"/>
        <w:rPr>
          <w:rFonts w:ascii="Arial" w:hAnsi="Arial" w:cs="Arial"/>
          <w:b/>
          <w:sz w:val="28"/>
          <w:szCs w:val="28"/>
        </w:rPr>
      </w:pPr>
    </w:p>
    <w:p w:rsidR="00F62682" w:rsidRPr="00A779DD" w:rsidRDefault="00F62682" w:rsidP="00EF014E">
      <w:pPr>
        <w:jc w:val="both"/>
        <w:rPr>
          <w:rFonts w:ascii="Arial" w:hAnsi="Arial" w:cs="Arial"/>
          <w:b/>
          <w:sz w:val="28"/>
          <w:szCs w:val="28"/>
        </w:rPr>
      </w:pPr>
      <w:r w:rsidRPr="00A779DD">
        <w:rPr>
          <w:rFonts w:ascii="Arial" w:hAnsi="Arial" w:cs="Arial"/>
          <w:b/>
          <w:sz w:val="28"/>
          <w:szCs w:val="28"/>
        </w:rPr>
        <w:lastRenderedPageBreak/>
        <w:t>5.1</w:t>
      </w:r>
      <w:r w:rsidRPr="00A779DD">
        <w:rPr>
          <w:rFonts w:ascii="Arial" w:hAnsi="Arial" w:cs="Arial"/>
          <w:b/>
          <w:sz w:val="28"/>
          <w:szCs w:val="28"/>
        </w:rPr>
        <w:tab/>
        <w:t>INVERSIÓN Y FINANCIAMIENTO DEL PROYECTO</w:t>
      </w:r>
    </w:p>
    <w:p w:rsidR="00A90649" w:rsidRPr="00A779DD" w:rsidRDefault="00A90649" w:rsidP="006B40CE">
      <w:pPr>
        <w:spacing w:line="480" w:lineRule="auto"/>
        <w:jc w:val="both"/>
        <w:rPr>
          <w:rFonts w:ascii="Arial" w:hAnsi="Arial" w:cs="Arial"/>
        </w:rPr>
      </w:pPr>
    </w:p>
    <w:p w:rsidR="00A705D9" w:rsidRPr="00A779DD" w:rsidRDefault="00A705D9" w:rsidP="006B40CE">
      <w:pPr>
        <w:spacing w:line="48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23913" w:rsidRPr="00A779DD" w:rsidRDefault="00523913" w:rsidP="006B40CE">
      <w:pPr>
        <w:spacing w:line="48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779DD">
        <w:rPr>
          <w:rFonts w:ascii="Arial" w:hAnsi="Arial" w:cs="Arial"/>
          <w:b/>
          <w:sz w:val="28"/>
          <w:szCs w:val="28"/>
          <w:u w:val="single"/>
        </w:rPr>
        <w:t>Inversión</w:t>
      </w:r>
    </w:p>
    <w:p w:rsidR="00523913" w:rsidRPr="00A779DD" w:rsidRDefault="00523913" w:rsidP="006B40CE">
      <w:pPr>
        <w:spacing w:line="480" w:lineRule="auto"/>
        <w:jc w:val="both"/>
        <w:rPr>
          <w:rFonts w:ascii="Arial" w:hAnsi="Arial" w:cs="Arial"/>
        </w:rPr>
      </w:pPr>
    </w:p>
    <w:p w:rsidR="00A64B23" w:rsidRPr="00A779DD" w:rsidRDefault="00A64B23" w:rsidP="006B40CE">
      <w:pPr>
        <w:spacing w:line="480" w:lineRule="auto"/>
        <w:jc w:val="both"/>
        <w:rPr>
          <w:rFonts w:ascii="Arial" w:hAnsi="Arial" w:cs="Arial"/>
        </w:rPr>
      </w:pPr>
      <w:r w:rsidRPr="00A779DD">
        <w:rPr>
          <w:rFonts w:ascii="Arial" w:hAnsi="Arial" w:cs="Arial"/>
        </w:rPr>
        <w:t xml:space="preserve">La inversión del proyecto esta distribuida de acuerdo a las actividades que se realiza en el manejo de los desechos sólidos: </w:t>
      </w:r>
    </w:p>
    <w:p w:rsidR="00A64B23" w:rsidRPr="00A779DD" w:rsidRDefault="00A64B23" w:rsidP="006B40CE">
      <w:pPr>
        <w:spacing w:line="480" w:lineRule="auto"/>
        <w:ind w:firstLine="708"/>
        <w:jc w:val="both"/>
        <w:rPr>
          <w:rFonts w:ascii="Arial" w:hAnsi="Arial" w:cs="Arial"/>
        </w:rPr>
      </w:pPr>
    </w:p>
    <w:p w:rsidR="00A64B23" w:rsidRPr="00A779DD" w:rsidRDefault="00A64B23" w:rsidP="006B40CE">
      <w:pPr>
        <w:spacing w:line="480" w:lineRule="auto"/>
        <w:ind w:firstLine="708"/>
        <w:jc w:val="both"/>
        <w:rPr>
          <w:rFonts w:ascii="Arial" w:hAnsi="Arial" w:cs="Arial"/>
        </w:rPr>
      </w:pPr>
      <w:r w:rsidRPr="00A779DD">
        <w:rPr>
          <w:rFonts w:ascii="Arial" w:hAnsi="Arial" w:cs="Arial"/>
        </w:rPr>
        <w:t>Barrido y Limpieza</w:t>
      </w:r>
    </w:p>
    <w:p w:rsidR="00A64B23" w:rsidRPr="00A779DD" w:rsidRDefault="00A64B23" w:rsidP="006B40CE">
      <w:pPr>
        <w:spacing w:line="480" w:lineRule="auto"/>
        <w:ind w:firstLine="708"/>
        <w:jc w:val="both"/>
        <w:rPr>
          <w:rFonts w:ascii="Arial" w:hAnsi="Arial" w:cs="Arial"/>
        </w:rPr>
      </w:pPr>
      <w:r w:rsidRPr="00A779DD">
        <w:rPr>
          <w:rFonts w:ascii="Arial" w:hAnsi="Arial" w:cs="Arial"/>
        </w:rPr>
        <w:t xml:space="preserve">Recolección </w:t>
      </w:r>
      <w:r w:rsidR="001477DC" w:rsidRPr="00A779DD">
        <w:rPr>
          <w:rFonts w:ascii="Arial" w:hAnsi="Arial" w:cs="Arial"/>
        </w:rPr>
        <w:t xml:space="preserve">&amp; </w:t>
      </w:r>
      <w:r w:rsidRPr="00A779DD">
        <w:rPr>
          <w:rFonts w:ascii="Arial" w:hAnsi="Arial" w:cs="Arial"/>
        </w:rPr>
        <w:t>Barrido</w:t>
      </w:r>
    </w:p>
    <w:p w:rsidR="00A64B23" w:rsidRPr="00A779DD" w:rsidRDefault="00A64B23" w:rsidP="006B40CE">
      <w:pPr>
        <w:spacing w:line="480" w:lineRule="auto"/>
        <w:ind w:firstLine="708"/>
        <w:jc w:val="both"/>
        <w:rPr>
          <w:rFonts w:ascii="Arial" w:hAnsi="Arial" w:cs="Arial"/>
        </w:rPr>
      </w:pPr>
      <w:r w:rsidRPr="00A779DD">
        <w:rPr>
          <w:rFonts w:ascii="Arial" w:hAnsi="Arial" w:cs="Arial"/>
        </w:rPr>
        <w:t>Recolección</w:t>
      </w:r>
    </w:p>
    <w:p w:rsidR="00A64B23" w:rsidRPr="00A779DD" w:rsidRDefault="00A64B23" w:rsidP="006B40CE">
      <w:pPr>
        <w:spacing w:line="480" w:lineRule="auto"/>
        <w:ind w:firstLine="708"/>
        <w:jc w:val="both"/>
        <w:rPr>
          <w:rFonts w:ascii="Arial" w:hAnsi="Arial" w:cs="Arial"/>
        </w:rPr>
      </w:pPr>
      <w:r w:rsidRPr="00A779DD">
        <w:rPr>
          <w:rFonts w:ascii="Arial" w:hAnsi="Arial" w:cs="Arial"/>
        </w:rPr>
        <w:t>Disposición Final</w:t>
      </w:r>
    </w:p>
    <w:p w:rsidR="00A90649" w:rsidRPr="00A779DD" w:rsidRDefault="00A64B23" w:rsidP="006B40CE">
      <w:pPr>
        <w:spacing w:line="480" w:lineRule="auto"/>
        <w:ind w:firstLine="708"/>
        <w:jc w:val="both"/>
        <w:rPr>
          <w:rFonts w:ascii="Arial" w:hAnsi="Arial" w:cs="Arial"/>
        </w:rPr>
      </w:pPr>
      <w:r w:rsidRPr="00A779DD">
        <w:rPr>
          <w:rFonts w:ascii="Arial" w:hAnsi="Arial" w:cs="Arial"/>
        </w:rPr>
        <w:t xml:space="preserve">Relleno </w:t>
      </w:r>
      <w:r w:rsidR="00A90649" w:rsidRPr="00A779DD">
        <w:rPr>
          <w:rFonts w:ascii="Arial" w:hAnsi="Arial" w:cs="Arial"/>
        </w:rPr>
        <w:t xml:space="preserve"> Sanitario</w:t>
      </w:r>
    </w:p>
    <w:p w:rsidR="000D66C6" w:rsidRPr="00A779DD" w:rsidRDefault="000D66C6" w:rsidP="006B40CE">
      <w:pPr>
        <w:spacing w:line="480" w:lineRule="auto"/>
        <w:jc w:val="both"/>
        <w:rPr>
          <w:rFonts w:ascii="Arial" w:hAnsi="Arial" w:cs="Arial"/>
        </w:rPr>
      </w:pPr>
    </w:p>
    <w:p w:rsidR="000D0E02" w:rsidRPr="00A779DD" w:rsidRDefault="000D66C6" w:rsidP="006B40CE">
      <w:pPr>
        <w:spacing w:line="480" w:lineRule="auto"/>
        <w:jc w:val="both"/>
        <w:rPr>
          <w:rFonts w:ascii="Arial" w:hAnsi="Arial" w:cs="Arial"/>
        </w:rPr>
      </w:pPr>
      <w:r w:rsidRPr="00A779DD">
        <w:rPr>
          <w:rFonts w:ascii="Arial" w:hAnsi="Arial" w:cs="Arial"/>
        </w:rPr>
        <w:t>Cada una de estas actividades necesita de la adquisición de Equipos, Herramientas e Implementos para</w:t>
      </w:r>
      <w:r w:rsidR="00F06938" w:rsidRPr="00A779DD">
        <w:rPr>
          <w:rFonts w:ascii="Arial" w:hAnsi="Arial" w:cs="Arial"/>
        </w:rPr>
        <w:t xml:space="preserve"> su ejecución, por esta razón </w:t>
      </w:r>
      <w:r w:rsidR="001E3934" w:rsidRPr="00A779DD">
        <w:rPr>
          <w:rFonts w:ascii="Arial" w:hAnsi="Arial" w:cs="Arial"/>
        </w:rPr>
        <w:t xml:space="preserve">se </w:t>
      </w:r>
      <w:r w:rsidR="00F06938" w:rsidRPr="00A779DD">
        <w:rPr>
          <w:rFonts w:ascii="Arial" w:hAnsi="Arial" w:cs="Arial"/>
        </w:rPr>
        <w:t>procedió a realizar</w:t>
      </w:r>
      <w:r w:rsidRPr="00A779DD">
        <w:rPr>
          <w:rFonts w:ascii="Arial" w:hAnsi="Arial" w:cs="Arial"/>
        </w:rPr>
        <w:t xml:space="preserve"> un análisis</w:t>
      </w:r>
      <w:r w:rsidR="00F06938" w:rsidRPr="00A779DD">
        <w:rPr>
          <w:rFonts w:ascii="Arial" w:hAnsi="Arial" w:cs="Arial"/>
        </w:rPr>
        <w:t xml:space="preserve"> de costos de los siguientes ítems:</w:t>
      </w:r>
    </w:p>
    <w:p w:rsidR="00F22CBB" w:rsidRPr="00A779DD" w:rsidRDefault="00F22CBB" w:rsidP="006B40CE">
      <w:pPr>
        <w:spacing w:line="480" w:lineRule="auto"/>
        <w:jc w:val="both"/>
        <w:rPr>
          <w:rFonts w:ascii="Arial" w:hAnsi="Arial" w:cs="Arial"/>
        </w:rPr>
      </w:pPr>
    </w:p>
    <w:p w:rsidR="00F06938" w:rsidRPr="00A779DD" w:rsidRDefault="00F06938" w:rsidP="006B40CE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A779DD">
        <w:rPr>
          <w:rFonts w:ascii="Arial" w:hAnsi="Arial" w:cs="Arial"/>
        </w:rPr>
        <w:t>Herramientas</w:t>
      </w:r>
      <w:r w:rsidR="006B40CE" w:rsidRPr="00A779DD">
        <w:rPr>
          <w:rStyle w:val="Refdenotaalpie"/>
          <w:rFonts w:ascii="Arial" w:hAnsi="Arial" w:cs="Arial"/>
        </w:rPr>
        <w:footnoteReference w:id="2"/>
      </w:r>
      <w:r w:rsidR="006B40CE" w:rsidRPr="00A779DD">
        <w:rPr>
          <w:rFonts w:ascii="Arial" w:hAnsi="Arial" w:cs="Arial"/>
        </w:rPr>
        <w:t xml:space="preserve"> </w:t>
      </w:r>
    </w:p>
    <w:p w:rsidR="006B40CE" w:rsidRPr="00A779DD" w:rsidRDefault="00F06938" w:rsidP="006B40CE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A779DD">
        <w:rPr>
          <w:rFonts w:ascii="Arial" w:hAnsi="Arial" w:cs="Arial"/>
        </w:rPr>
        <w:t xml:space="preserve">Costo Horario de </w:t>
      </w:r>
      <w:r w:rsidR="006B40CE" w:rsidRPr="00A779DD">
        <w:rPr>
          <w:rFonts w:ascii="Arial" w:hAnsi="Arial" w:cs="Arial"/>
        </w:rPr>
        <w:t xml:space="preserve">Vehículo </w:t>
      </w:r>
      <w:r w:rsidRPr="00A779DD">
        <w:rPr>
          <w:rFonts w:ascii="Arial" w:hAnsi="Arial" w:cs="Arial"/>
        </w:rPr>
        <w:t>Recolector de Carga Posterior</w:t>
      </w:r>
      <w:r w:rsidR="006B40CE" w:rsidRPr="00A779DD">
        <w:rPr>
          <w:rStyle w:val="Refdenotaalpie"/>
          <w:rFonts w:ascii="Arial" w:hAnsi="Arial" w:cs="Arial"/>
        </w:rPr>
        <w:footnoteReference w:id="3"/>
      </w:r>
      <w:r w:rsidRPr="00A779DD">
        <w:rPr>
          <w:rFonts w:ascii="Arial" w:hAnsi="Arial" w:cs="Arial"/>
        </w:rPr>
        <w:t xml:space="preserve"> </w:t>
      </w:r>
    </w:p>
    <w:p w:rsidR="00A705D9" w:rsidRPr="00A779DD" w:rsidRDefault="00A705D9" w:rsidP="00A705D9">
      <w:pPr>
        <w:spacing w:line="480" w:lineRule="auto"/>
        <w:ind w:left="360"/>
        <w:jc w:val="both"/>
        <w:rPr>
          <w:rFonts w:ascii="Arial" w:hAnsi="Arial" w:cs="Arial"/>
        </w:rPr>
      </w:pPr>
    </w:p>
    <w:p w:rsidR="00A705D9" w:rsidRPr="00A779DD" w:rsidRDefault="00A705D9" w:rsidP="00A705D9">
      <w:pPr>
        <w:spacing w:line="480" w:lineRule="auto"/>
        <w:ind w:left="360"/>
        <w:jc w:val="both"/>
        <w:rPr>
          <w:rFonts w:ascii="Arial" w:hAnsi="Arial" w:cs="Arial"/>
        </w:rPr>
      </w:pPr>
    </w:p>
    <w:p w:rsidR="00F22CBB" w:rsidRPr="00A779DD" w:rsidRDefault="00F06938" w:rsidP="00A705D9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A779DD">
        <w:rPr>
          <w:rFonts w:ascii="Arial" w:hAnsi="Arial" w:cs="Arial"/>
        </w:rPr>
        <w:t xml:space="preserve"> Costo Horario de </w:t>
      </w:r>
      <w:r w:rsidR="006B40CE" w:rsidRPr="00A779DD">
        <w:rPr>
          <w:rFonts w:ascii="Arial" w:hAnsi="Arial" w:cs="Arial"/>
        </w:rPr>
        <w:t>Vehículo</w:t>
      </w:r>
      <w:r w:rsidRPr="00A779DD">
        <w:rPr>
          <w:rFonts w:ascii="Arial" w:hAnsi="Arial" w:cs="Arial"/>
        </w:rPr>
        <w:t xml:space="preserve"> Recolector d</w:t>
      </w:r>
      <w:r w:rsidR="00F22CBB" w:rsidRPr="00A779DD">
        <w:rPr>
          <w:rFonts w:ascii="Arial" w:hAnsi="Arial" w:cs="Arial"/>
        </w:rPr>
        <w:t>e Carga Frontal</w:t>
      </w:r>
      <w:r w:rsidR="006B40CE" w:rsidRPr="00A779DD">
        <w:rPr>
          <w:rStyle w:val="Refdenotaalpie"/>
          <w:rFonts w:ascii="Arial" w:hAnsi="Arial" w:cs="Arial"/>
        </w:rPr>
        <w:footnoteReference w:id="4"/>
      </w:r>
    </w:p>
    <w:p w:rsidR="00F06938" w:rsidRPr="00A779DD" w:rsidRDefault="006B40CE" w:rsidP="006B40CE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A779DD">
        <w:rPr>
          <w:rFonts w:ascii="Arial" w:hAnsi="Arial" w:cs="Arial"/>
        </w:rPr>
        <w:t>Costo Maquinaria</w:t>
      </w:r>
      <w:r w:rsidRPr="00A779DD">
        <w:rPr>
          <w:rStyle w:val="Refdenotaalpie"/>
          <w:rFonts w:ascii="Arial" w:hAnsi="Arial" w:cs="Arial"/>
        </w:rPr>
        <w:footnoteReference w:id="5"/>
      </w:r>
    </w:p>
    <w:p w:rsidR="00F06938" w:rsidRPr="00A779DD" w:rsidRDefault="00F06938" w:rsidP="006B40CE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A779DD">
        <w:rPr>
          <w:rFonts w:ascii="Arial" w:hAnsi="Arial" w:cs="Arial"/>
        </w:rPr>
        <w:t xml:space="preserve">Costo </w:t>
      </w:r>
      <w:r w:rsidR="006B40CE" w:rsidRPr="00A779DD">
        <w:rPr>
          <w:rFonts w:ascii="Arial" w:hAnsi="Arial" w:cs="Arial"/>
        </w:rPr>
        <w:t>de Vehículos Recolectores</w:t>
      </w:r>
      <w:r w:rsidR="006B40CE" w:rsidRPr="00A779DD">
        <w:rPr>
          <w:rStyle w:val="Refdenotaalpie"/>
          <w:rFonts w:ascii="Arial" w:hAnsi="Arial" w:cs="Arial"/>
        </w:rPr>
        <w:footnoteReference w:id="6"/>
      </w:r>
    </w:p>
    <w:p w:rsidR="000D66C6" w:rsidRPr="00A779DD" w:rsidRDefault="000D66C6" w:rsidP="006B40CE">
      <w:pPr>
        <w:spacing w:line="480" w:lineRule="auto"/>
        <w:jc w:val="both"/>
        <w:rPr>
          <w:rFonts w:ascii="Arial" w:hAnsi="Arial" w:cs="Arial"/>
        </w:rPr>
      </w:pPr>
    </w:p>
    <w:p w:rsidR="000D0E02" w:rsidRPr="00A779DD" w:rsidRDefault="007A72E5" w:rsidP="006B40CE">
      <w:pPr>
        <w:spacing w:line="480" w:lineRule="auto"/>
        <w:jc w:val="both"/>
        <w:rPr>
          <w:rFonts w:ascii="Arial" w:hAnsi="Arial" w:cs="Arial"/>
        </w:rPr>
      </w:pPr>
      <w:r w:rsidRPr="00A779DD">
        <w:rPr>
          <w:rFonts w:ascii="Arial" w:hAnsi="Arial" w:cs="Arial"/>
        </w:rPr>
        <w:t>La actividad de Barrido y Limpieza necesita adqui</w:t>
      </w:r>
      <w:r w:rsidR="00E234B5" w:rsidRPr="00A779DD">
        <w:rPr>
          <w:rFonts w:ascii="Arial" w:hAnsi="Arial" w:cs="Arial"/>
        </w:rPr>
        <w:t>rir</w:t>
      </w:r>
      <w:r w:rsidR="001477DC" w:rsidRPr="00A779DD">
        <w:rPr>
          <w:rFonts w:ascii="Arial" w:hAnsi="Arial" w:cs="Arial"/>
        </w:rPr>
        <w:t xml:space="preserve"> </w:t>
      </w:r>
      <w:r w:rsidR="00E234B5" w:rsidRPr="00A779DD">
        <w:rPr>
          <w:rFonts w:ascii="Arial" w:hAnsi="Arial" w:cs="Arial"/>
        </w:rPr>
        <w:t>Equipos de Protección Personal; p</w:t>
      </w:r>
      <w:r w:rsidR="00A64B23" w:rsidRPr="00A779DD">
        <w:rPr>
          <w:rFonts w:ascii="Arial" w:hAnsi="Arial" w:cs="Arial"/>
        </w:rPr>
        <w:t>ara</w:t>
      </w:r>
      <w:r w:rsidR="001477DC" w:rsidRPr="00A779DD">
        <w:rPr>
          <w:rFonts w:ascii="Arial" w:hAnsi="Arial" w:cs="Arial"/>
        </w:rPr>
        <w:t xml:space="preserve"> las actividades de Recolección &amp; Barrido, Recolección y Disposición Final se </w:t>
      </w:r>
      <w:r w:rsidR="00A64B23" w:rsidRPr="00A779DD">
        <w:rPr>
          <w:rFonts w:ascii="Arial" w:hAnsi="Arial" w:cs="Arial"/>
        </w:rPr>
        <w:t xml:space="preserve"> </w:t>
      </w:r>
      <w:r w:rsidR="001477DC" w:rsidRPr="00A779DD">
        <w:rPr>
          <w:rFonts w:ascii="Arial" w:hAnsi="Arial" w:cs="Arial"/>
        </w:rPr>
        <w:t>requiere de Herram</w:t>
      </w:r>
      <w:r w:rsidR="00E234B5" w:rsidRPr="00A779DD">
        <w:rPr>
          <w:rFonts w:ascii="Arial" w:hAnsi="Arial" w:cs="Arial"/>
        </w:rPr>
        <w:t>ientas e Implementos  y Equipos; y,</w:t>
      </w:r>
      <w:r w:rsidR="00F050C6" w:rsidRPr="00A779DD">
        <w:rPr>
          <w:rFonts w:ascii="Arial" w:hAnsi="Arial" w:cs="Arial"/>
        </w:rPr>
        <w:t xml:space="preserve"> para la </w:t>
      </w:r>
      <w:r w:rsidR="00144261" w:rsidRPr="00A779DD">
        <w:rPr>
          <w:rFonts w:ascii="Arial" w:hAnsi="Arial" w:cs="Arial"/>
        </w:rPr>
        <w:t xml:space="preserve">Recolección &amp; Barrido se </w:t>
      </w:r>
      <w:r w:rsidR="002F76AA" w:rsidRPr="00A779DD">
        <w:rPr>
          <w:rFonts w:ascii="Arial" w:hAnsi="Arial" w:cs="Arial"/>
        </w:rPr>
        <w:t xml:space="preserve"> añadir</w:t>
      </w:r>
      <w:r w:rsidR="00E234B5" w:rsidRPr="00A779DD">
        <w:rPr>
          <w:rFonts w:ascii="Arial" w:hAnsi="Arial" w:cs="Arial"/>
        </w:rPr>
        <w:t xml:space="preserve">á 3 vehículos de carga frontal </w:t>
      </w:r>
      <w:r w:rsidR="002F76AA" w:rsidRPr="00A779DD">
        <w:rPr>
          <w:rFonts w:ascii="Arial" w:hAnsi="Arial" w:cs="Arial"/>
        </w:rPr>
        <w:t xml:space="preserve">los cuales serán utilizados para cada ciudad. </w:t>
      </w:r>
    </w:p>
    <w:p w:rsidR="00B879A3" w:rsidRPr="00A779DD" w:rsidRDefault="00B879A3" w:rsidP="006B40CE">
      <w:pPr>
        <w:spacing w:line="480" w:lineRule="auto"/>
        <w:jc w:val="both"/>
        <w:rPr>
          <w:rFonts w:ascii="Arial" w:hAnsi="Arial" w:cs="Arial"/>
        </w:rPr>
      </w:pPr>
    </w:p>
    <w:p w:rsidR="002F76AA" w:rsidRPr="00A779DD" w:rsidRDefault="002E5276" w:rsidP="006B40CE">
      <w:pPr>
        <w:spacing w:line="480" w:lineRule="auto"/>
        <w:jc w:val="both"/>
        <w:rPr>
          <w:rFonts w:ascii="Arial" w:hAnsi="Arial" w:cs="Arial"/>
        </w:rPr>
      </w:pPr>
      <w:r w:rsidRPr="00A779DD">
        <w:rPr>
          <w:rFonts w:ascii="Arial" w:hAnsi="Arial" w:cs="Arial"/>
        </w:rPr>
        <w:t>Para lograr una cobertura completa del servicio de recolección de basura se ne</w:t>
      </w:r>
      <w:r w:rsidR="002F76AA" w:rsidRPr="00A779DD">
        <w:rPr>
          <w:rFonts w:ascii="Arial" w:hAnsi="Arial" w:cs="Arial"/>
        </w:rPr>
        <w:t>cesita</w:t>
      </w:r>
      <w:r w:rsidRPr="00A779DD">
        <w:rPr>
          <w:rFonts w:ascii="Arial" w:hAnsi="Arial" w:cs="Arial"/>
        </w:rPr>
        <w:t>n</w:t>
      </w:r>
      <w:r w:rsidR="002F76AA" w:rsidRPr="00A779DD">
        <w:rPr>
          <w:rFonts w:ascii="Arial" w:hAnsi="Arial" w:cs="Arial"/>
        </w:rPr>
        <w:t xml:space="preserve"> de 15 veh</w:t>
      </w:r>
      <w:r w:rsidRPr="00A779DD">
        <w:rPr>
          <w:rFonts w:ascii="Arial" w:hAnsi="Arial" w:cs="Arial"/>
        </w:rPr>
        <w:t xml:space="preserve">ículos recolectores; </w:t>
      </w:r>
      <w:r w:rsidR="002F76AA" w:rsidRPr="00A779DD">
        <w:rPr>
          <w:rFonts w:ascii="Arial" w:hAnsi="Arial" w:cs="Arial"/>
        </w:rPr>
        <w:t xml:space="preserve">10 en  Machala, 3 en Pasaje y 2 en El Guabo. </w:t>
      </w:r>
      <w:r w:rsidRPr="00A779DD">
        <w:rPr>
          <w:rFonts w:ascii="Arial" w:hAnsi="Arial" w:cs="Arial"/>
        </w:rPr>
        <w:t>Los Municipios de Pasaje y El Guabo cuent</w:t>
      </w:r>
      <w:r w:rsidR="001E3934" w:rsidRPr="00A779DD">
        <w:rPr>
          <w:rFonts w:ascii="Arial" w:hAnsi="Arial" w:cs="Arial"/>
        </w:rPr>
        <w:t>an con los vehículos requeridos; sin embargo,</w:t>
      </w:r>
      <w:r w:rsidRPr="00A779DD">
        <w:rPr>
          <w:rFonts w:ascii="Arial" w:hAnsi="Arial" w:cs="Arial"/>
        </w:rPr>
        <w:t xml:space="preserve"> Machala cuenta con 6 vehículos y necesita 4 </w:t>
      </w:r>
      <w:r w:rsidR="001E3934" w:rsidRPr="00A779DD">
        <w:rPr>
          <w:rFonts w:ascii="Arial" w:hAnsi="Arial" w:cs="Arial"/>
        </w:rPr>
        <w:t>adicionales</w:t>
      </w:r>
      <w:r w:rsidRPr="00A779DD">
        <w:rPr>
          <w:rFonts w:ascii="Arial" w:hAnsi="Arial" w:cs="Arial"/>
        </w:rPr>
        <w:t>, los cuáles serán adquiridos para el proyecto.</w:t>
      </w:r>
    </w:p>
    <w:p w:rsidR="0096309D" w:rsidRPr="00A779DD" w:rsidRDefault="0096309D" w:rsidP="006B40CE">
      <w:pPr>
        <w:spacing w:line="480" w:lineRule="auto"/>
        <w:jc w:val="both"/>
        <w:rPr>
          <w:rFonts w:ascii="Arial" w:hAnsi="Arial" w:cs="Arial"/>
        </w:rPr>
      </w:pPr>
    </w:p>
    <w:p w:rsidR="0096309D" w:rsidRPr="00A779DD" w:rsidRDefault="0096309D" w:rsidP="006B40CE">
      <w:pPr>
        <w:spacing w:line="480" w:lineRule="auto"/>
        <w:jc w:val="both"/>
        <w:rPr>
          <w:rFonts w:ascii="Arial" w:hAnsi="Arial" w:cs="Arial"/>
        </w:rPr>
      </w:pPr>
      <w:r w:rsidRPr="00A779DD">
        <w:rPr>
          <w:rFonts w:ascii="Arial" w:hAnsi="Arial" w:cs="Arial"/>
        </w:rPr>
        <w:t xml:space="preserve">En la Disposición </w:t>
      </w:r>
      <w:r w:rsidR="002C53A0" w:rsidRPr="00A779DD">
        <w:rPr>
          <w:rFonts w:ascii="Arial" w:hAnsi="Arial" w:cs="Arial"/>
        </w:rPr>
        <w:t xml:space="preserve"> Final s</w:t>
      </w:r>
      <w:r w:rsidR="00F120E2" w:rsidRPr="00A779DD">
        <w:rPr>
          <w:rFonts w:ascii="Arial" w:hAnsi="Arial" w:cs="Arial"/>
        </w:rPr>
        <w:t>e requiere de maquinaria pesada, la cual in</w:t>
      </w:r>
      <w:r w:rsidR="009F3AB1" w:rsidRPr="00A779DD">
        <w:rPr>
          <w:rFonts w:ascii="Arial" w:hAnsi="Arial" w:cs="Arial"/>
        </w:rPr>
        <w:t xml:space="preserve">cluye 1 </w:t>
      </w:r>
      <w:r w:rsidR="001E3934" w:rsidRPr="00A779DD">
        <w:rPr>
          <w:rFonts w:ascii="Arial" w:hAnsi="Arial" w:cs="Arial"/>
        </w:rPr>
        <w:t>t</w:t>
      </w:r>
      <w:r w:rsidR="009F3AB1" w:rsidRPr="00A779DD">
        <w:rPr>
          <w:rFonts w:ascii="Arial" w:hAnsi="Arial" w:cs="Arial"/>
        </w:rPr>
        <w:t>ractor, 1 volqueta, 1 r</w:t>
      </w:r>
      <w:r w:rsidR="00F120E2" w:rsidRPr="00A779DD">
        <w:rPr>
          <w:rFonts w:ascii="Arial" w:hAnsi="Arial" w:cs="Arial"/>
        </w:rPr>
        <w:t>etroexcavadora,</w:t>
      </w:r>
      <w:r w:rsidR="00551FA1" w:rsidRPr="00A779DD">
        <w:rPr>
          <w:rFonts w:ascii="Arial" w:hAnsi="Arial" w:cs="Arial"/>
        </w:rPr>
        <w:t xml:space="preserve"> </w:t>
      </w:r>
      <w:r w:rsidR="009F3AB1" w:rsidRPr="00A779DD">
        <w:rPr>
          <w:rFonts w:ascii="Arial" w:hAnsi="Arial" w:cs="Arial"/>
        </w:rPr>
        <w:t>1 equipo de b</w:t>
      </w:r>
      <w:r w:rsidR="006B40CE" w:rsidRPr="00A779DD">
        <w:rPr>
          <w:rFonts w:ascii="Arial" w:hAnsi="Arial" w:cs="Arial"/>
        </w:rPr>
        <w:t>ombeo</w:t>
      </w:r>
      <w:r w:rsidR="00F120E2" w:rsidRPr="00A779DD">
        <w:rPr>
          <w:rFonts w:ascii="Arial" w:hAnsi="Arial" w:cs="Arial"/>
        </w:rPr>
        <w:t xml:space="preserve"> y 1 </w:t>
      </w:r>
      <w:r w:rsidR="009F3AB1" w:rsidRPr="00A779DD">
        <w:rPr>
          <w:rFonts w:ascii="Arial" w:hAnsi="Arial" w:cs="Arial"/>
        </w:rPr>
        <w:t>b</w:t>
      </w:r>
      <w:r w:rsidR="006B40CE" w:rsidRPr="00A779DD">
        <w:rPr>
          <w:rFonts w:ascii="Arial" w:hAnsi="Arial" w:cs="Arial"/>
        </w:rPr>
        <w:t>áscula</w:t>
      </w:r>
      <w:r w:rsidR="009F3AB1" w:rsidRPr="00A779DD">
        <w:rPr>
          <w:rFonts w:ascii="Arial" w:hAnsi="Arial" w:cs="Arial"/>
        </w:rPr>
        <w:t xml:space="preserve"> de p</w:t>
      </w:r>
      <w:r w:rsidR="00F120E2" w:rsidRPr="00A779DD">
        <w:rPr>
          <w:rFonts w:ascii="Arial" w:hAnsi="Arial" w:cs="Arial"/>
        </w:rPr>
        <w:t xml:space="preserve">esaje. </w:t>
      </w:r>
    </w:p>
    <w:p w:rsidR="00F120E2" w:rsidRPr="00A779DD" w:rsidRDefault="00F120E2" w:rsidP="006B40CE">
      <w:pPr>
        <w:spacing w:line="480" w:lineRule="auto"/>
        <w:jc w:val="both"/>
        <w:rPr>
          <w:rFonts w:ascii="Arial" w:hAnsi="Arial" w:cs="Arial"/>
        </w:rPr>
      </w:pPr>
    </w:p>
    <w:p w:rsidR="00A705D9" w:rsidRPr="00A779DD" w:rsidRDefault="00A705D9" w:rsidP="006B40CE">
      <w:pPr>
        <w:spacing w:line="480" w:lineRule="auto"/>
        <w:jc w:val="both"/>
        <w:rPr>
          <w:rFonts w:ascii="Arial" w:hAnsi="Arial" w:cs="Arial"/>
        </w:rPr>
      </w:pPr>
    </w:p>
    <w:p w:rsidR="00B879A3" w:rsidRPr="00A779DD" w:rsidRDefault="00B879A3" w:rsidP="006B40CE">
      <w:pPr>
        <w:spacing w:line="480" w:lineRule="auto"/>
        <w:jc w:val="both"/>
        <w:rPr>
          <w:rFonts w:ascii="Arial" w:hAnsi="Arial" w:cs="Arial"/>
        </w:rPr>
      </w:pPr>
      <w:r w:rsidRPr="00A779DD">
        <w:rPr>
          <w:rFonts w:ascii="Arial" w:hAnsi="Arial" w:cs="Arial"/>
        </w:rPr>
        <w:t xml:space="preserve">El proyecto ha utilizado el método de  línea recta para </w:t>
      </w:r>
      <w:r w:rsidR="00927134" w:rsidRPr="00A779DD">
        <w:rPr>
          <w:rFonts w:ascii="Arial" w:hAnsi="Arial" w:cs="Arial"/>
        </w:rPr>
        <w:t xml:space="preserve">la </w:t>
      </w:r>
      <w:r w:rsidRPr="00A779DD">
        <w:rPr>
          <w:rFonts w:ascii="Arial" w:hAnsi="Arial" w:cs="Arial"/>
        </w:rPr>
        <w:t>deprecia</w:t>
      </w:r>
      <w:r w:rsidR="00927134" w:rsidRPr="00A779DD">
        <w:rPr>
          <w:rFonts w:ascii="Arial" w:hAnsi="Arial" w:cs="Arial"/>
        </w:rPr>
        <w:t>ción</w:t>
      </w:r>
      <w:r w:rsidR="006B40CE" w:rsidRPr="00A779DD">
        <w:rPr>
          <w:rStyle w:val="Refdenotaalpie"/>
          <w:rFonts w:ascii="Arial" w:hAnsi="Arial" w:cs="Arial"/>
        </w:rPr>
        <w:footnoteReference w:id="7"/>
      </w:r>
      <w:r w:rsidRPr="00A779DD">
        <w:rPr>
          <w:rFonts w:ascii="Arial" w:hAnsi="Arial" w:cs="Arial"/>
        </w:rPr>
        <w:t xml:space="preserve"> </w:t>
      </w:r>
      <w:r w:rsidR="00927134" w:rsidRPr="00A779DD">
        <w:rPr>
          <w:rFonts w:ascii="Arial" w:hAnsi="Arial" w:cs="Arial"/>
        </w:rPr>
        <w:t>de</w:t>
      </w:r>
      <w:r w:rsidRPr="00A779DD">
        <w:rPr>
          <w:rFonts w:ascii="Arial" w:hAnsi="Arial" w:cs="Arial"/>
        </w:rPr>
        <w:t xml:space="preserve"> los Activos Fijos</w:t>
      </w:r>
      <w:r w:rsidR="00927134" w:rsidRPr="00A779DD">
        <w:rPr>
          <w:rFonts w:ascii="Arial" w:hAnsi="Arial" w:cs="Arial"/>
        </w:rPr>
        <w:t>.</w:t>
      </w:r>
      <w:r w:rsidRPr="00A779DD">
        <w:rPr>
          <w:rFonts w:ascii="Arial" w:hAnsi="Arial" w:cs="Arial"/>
        </w:rPr>
        <w:t xml:space="preserve"> </w:t>
      </w:r>
    </w:p>
    <w:p w:rsidR="00927134" w:rsidRPr="00A779DD" w:rsidRDefault="00927134" w:rsidP="006B40CE">
      <w:pPr>
        <w:spacing w:line="480" w:lineRule="auto"/>
        <w:jc w:val="both"/>
        <w:rPr>
          <w:rFonts w:ascii="Arial" w:hAnsi="Arial" w:cs="Arial"/>
        </w:rPr>
      </w:pPr>
    </w:p>
    <w:p w:rsidR="00EF5E28" w:rsidRPr="00A779DD" w:rsidRDefault="00F120E2" w:rsidP="006B40CE">
      <w:pPr>
        <w:spacing w:line="480" w:lineRule="auto"/>
        <w:jc w:val="both"/>
        <w:rPr>
          <w:rFonts w:ascii="Arial" w:hAnsi="Arial" w:cs="Arial"/>
        </w:rPr>
      </w:pPr>
      <w:r w:rsidRPr="00A779DD">
        <w:rPr>
          <w:rFonts w:ascii="Arial" w:hAnsi="Arial" w:cs="Arial"/>
        </w:rPr>
        <w:t>La infraestructura</w:t>
      </w:r>
      <w:r w:rsidR="00755679" w:rsidRPr="00A779DD">
        <w:rPr>
          <w:rFonts w:ascii="Arial" w:hAnsi="Arial" w:cs="Arial"/>
        </w:rPr>
        <w:t xml:space="preserve"> del Relleno Sanitario </w:t>
      </w:r>
      <w:r w:rsidR="00065876" w:rsidRPr="00A779DD">
        <w:rPr>
          <w:rFonts w:ascii="Arial" w:hAnsi="Arial" w:cs="Arial"/>
        </w:rPr>
        <w:t xml:space="preserve">esta diseñado para un período de </w:t>
      </w:r>
      <w:r w:rsidR="00755679" w:rsidRPr="00A779DD">
        <w:rPr>
          <w:rFonts w:ascii="Arial" w:hAnsi="Arial" w:cs="Arial"/>
        </w:rPr>
        <w:t xml:space="preserve"> 10 años comprendida entre 2006-2015</w:t>
      </w:r>
      <w:r w:rsidR="00221F0E" w:rsidRPr="00A779DD">
        <w:rPr>
          <w:rFonts w:ascii="Arial" w:hAnsi="Arial" w:cs="Arial"/>
        </w:rPr>
        <w:t>,</w:t>
      </w:r>
      <w:r w:rsidR="00065876" w:rsidRPr="00A779DD">
        <w:rPr>
          <w:rFonts w:ascii="Arial" w:hAnsi="Arial" w:cs="Arial"/>
        </w:rPr>
        <w:t xml:space="preserve"> </w:t>
      </w:r>
      <w:r w:rsidR="00221F0E" w:rsidRPr="00A779DD">
        <w:rPr>
          <w:rFonts w:ascii="Arial" w:hAnsi="Arial" w:cs="Arial"/>
        </w:rPr>
        <w:t>i</w:t>
      </w:r>
      <w:r w:rsidR="00755679" w:rsidRPr="00A779DD">
        <w:rPr>
          <w:rFonts w:ascii="Arial" w:hAnsi="Arial" w:cs="Arial"/>
        </w:rPr>
        <w:t>ncluye costos de o</w:t>
      </w:r>
      <w:r w:rsidR="00E234B5" w:rsidRPr="00A779DD">
        <w:rPr>
          <w:rFonts w:ascii="Arial" w:hAnsi="Arial" w:cs="Arial"/>
        </w:rPr>
        <w:t>bra civil y obras complementaria</w:t>
      </w:r>
      <w:r w:rsidR="00755679" w:rsidRPr="00A779DD">
        <w:rPr>
          <w:rFonts w:ascii="Arial" w:hAnsi="Arial" w:cs="Arial"/>
        </w:rPr>
        <w:t>s</w:t>
      </w:r>
      <w:r w:rsidR="006B40CE" w:rsidRPr="00A779DD">
        <w:rPr>
          <w:rStyle w:val="Refdenotaalpie"/>
          <w:rFonts w:ascii="Arial" w:hAnsi="Arial" w:cs="Arial"/>
        </w:rPr>
        <w:footnoteReference w:id="8"/>
      </w:r>
      <w:r w:rsidR="00755679" w:rsidRPr="00A779DD">
        <w:rPr>
          <w:rFonts w:ascii="Arial" w:hAnsi="Arial" w:cs="Arial"/>
        </w:rPr>
        <w:t xml:space="preserve">. </w:t>
      </w:r>
    </w:p>
    <w:p w:rsidR="00065876" w:rsidRPr="00A779DD" w:rsidRDefault="00065876" w:rsidP="006B40CE">
      <w:pPr>
        <w:spacing w:line="480" w:lineRule="auto"/>
        <w:jc w:val="both"/>
        <w:rPr>
          <w:rFonts w:ascii="Arial" w:hAnsi="Arial" w:cs="Arial"/>
          <w:b/>
          <w:u w:val="single"/>
        </w:rPr>
      </w:pPr>
    </w:p>
    <w:p w:rsidR="00A705D9" w:rsidRPr="00A779DD" w:rsidRDefault="00A705D9" w:rsidP="006B40CE">
      <w:pPr>
        <w:spacing w:line="480" w:lineRule="auto"/>
        <w:jc w:val="both"/>
        <w:rPr>
          <w:rFonts w:ascii="Arial" w:hAnsi="Arial" w:cs="Arial"/>
          <w:b/>
          <w:u w:val="single"/>
        </w:rPr>
      </w:pPr>
    </w:p>
    <w:p w:rsidR="00523913" w:rsidRPr="00A779DD" w:rsidRDefault="00523913" w:rsidP="006B40CE">
      <w:pPr>
        <w:spacing w:line="480" w:lineRule="auto"/>
        <w:jc w:val="both"/>
        <w:rPr>
          <w:rFonts w:ascii="Arial" w:hAnsi="Arial" w:cs="Arial"/>
          <w:b/>
          <w:u w:val="single"/>
        </w:rPr>
      </w:pPr>
      <w:r w:rsidRPr="00A779DD">
        <w:rPr>
          <w:rFonts w:ascii="Arial" w:hAnsi="Arial" w:cs="Arial"/>
          <w:b/>
          <w:u w:val="single"/>
        </w:rPr>
        <w:t xml:space="preserve">Financiamiento </w:t>
      </w:r>
    </w:p>
    <w:p w:rsidR="00523913" w:rsidRPr="00A779DD" w:rsidRDefault="00523913" w:rsidP="006B40CE">
      <w:pPr>
        <w:spacing w:line="480" w:lineRule="auto"/>
        <w:jc w:val="both"/>
        <w:rPr>
          <w:rFonts w:ascii="Arial" w:hAnsi="Arial" w:cs="Arial"/>
        </w:rPr>
      </w:pPr>
    </w:p>
    <w:p w:rsidR="009E0B85" w:rsidRPr="00A779DD" w:rsidRDefault="009E0B85" w:rsidP="006B40CE">
      <w:pPr>
        <w:spacing w:line="480" w:lineRule="auto"/>
        <w:jc w:val="both"/>
        <w:rPr>
          <w:rFonts w:ascii="Arial" w:hAnsi="Arial" w:cs="Arial"/>
        </w:rPr>
      </w:pPr>
      <w:r w:rsidRPr="00A779DD">
        <w:rPr>
          <w:rFonts w:ascii="Arial" w:hAnsi="Arial" w:cs="Arial"/>
        </w:rPr>
        <w:t>El proyecto requiere una inversión de 2`</w:t>
      </w:r>
      <w:r w:rsidR="004E3AD9" w:rsidRPr="00A779DD">
        <w:rPr>
          <w:rFonts w:ascii="Arial" w:hAnsi="Arial" w:cs="Arial"/>
        </w:rPr>
        <w:t>407,987.76</w:t>
      </w:r>
      <w:r w:rsidRPr="00A779DD">
        <w:rPr>
          <w:rFonts w:ascii="Arial" w:hAnsi="Arial" w:cs="Arial"/>
        </w:rPr>
        <w:t xml:space="preserve"> </w:t>
      </w:r>
      <w:r w:rsidR="00356A55" w:rsidRPr="00A779DD">
        <w:rPr>
          <w:rFonts w:ascii="Arial" w:hAnsi="Arial" w:cs="Arial"/>
        </w:rPr>
        <w:t xml:space="preserve"> </w:t>
      </w:r>
      <w:r w:rsidRPr="00A779DD">
        <w:rPr>
          <w:rFonts w:ascii="Arial" w:hAnsi="Arial" w:cs="Arial"/>
        </w:rPr>
        <w:t xml:space="preserve">la cual se financiará mediante </w:t>
      </w:r>
      <w:r w:rsidR="00221F0E" w:rsidRPr="00A779DD">
        <w:rPr>
          <w:rFonts w:ascii="Arial" w:hAnsi="Arial" w:cs="Arial"/>
        </w:rPr>
        <w:t xml:space="preserve">un </w:t>
      </w:r>
      <w:r w:rsidRPr="00A779DD">
        <w:rPr>
          <w:rFonts w:ascii="Arial" w:hAnsi="Arial" w:cs="Arial"/>
        </w:rPr>
        <w:t>préstamo al Banco del Estado y Aportes Municipales.</w:t>
      </w:r>
    </w:p>
    <w:p w:rsidR="000A2FB3" w:rsidRPr="00A779DD" w:rsidRDefault="000A2FB3" w:rsidP="006B40CE">
      <w:pPr>
        <w:spacing w:line="480" w:lineRule="auto"/>
        <w:jc w:val="both"/>
        <w:rPr>
          <w:rFonts w:ascii="Arial" w:hAnsi="Arial" w:cs="Arial"/>
        </w:rPr>
      </w:pPr>
    </w:p>
    <w:p w:rsidR="000A2FB3" w:rsidRPr="00A779DD" w:rsidRDefault="000A2FB3" w:rsidP="006B40CE">
      <w:pPr>
        <w:spacing w:line="480" w:lineRule="auto"/>
        <w:jc w:val="both"/>
        <w:rPr>
          <w:rFonts w:ascii="Arial" w:hAnsi="Arial" w:cs="Arial"/>
        </w:rPr>
      </w:pPr>
      <w:r w:rsidRPr="00A779DD">
        <w:rPr>
          <w:rFonts w:ascii="Arial" w:hAnsi="Arial" w:cs="Arial"/>
        </w:rPr>
        <w:t>El préstamo solicitado al Banco del Estado corresponde al 70% de la inversión y el 30% restante incumbe a los desembolsos realizados por los municipios de cada cantón.</w:t>
      </w:r>
    </w:p>
    <w:p w:rsidR="005C388D" w:rsidRDefault="005C388D" w:rsidP="006B40CE">
      <w:pPr>
        <w:spacing w:line="480" w:lineRule="auto"/>
        <w:jc w:val="both"/>
        <w:rPr>
          <w:rFonts w:ascii="Arial" w:hAnsi="Arial" w:cs="Arial"/>
        </w:rPr>
      </w:pPr>
    </w:p>
    <w:p w:rsidR="00B47250" w:rsidRDefault="00B47250" w:rsidP="006B40CE">
      <w:pPr>
        <w:spacing w:line="480" w:lineRule="auto"/>
        <w:jc w:val="both"/>
        <w:rPr>
          <w:rFonts w:ascii="Arial" w:hAnsi="Arial" w:cs="Arial"/>
        </w:rPr>
      </w:pPr>
    </w:p>
    <w:p w:rsidR="00B47250" w:rsidRDefault="00B47250" w:rsidP="006B40CE">
      <w:pPr>
        <w:spacing w:line="480" w:lineRule="auto"/>
        <w:jc w:val="both"/>
        <w:rPr>
          <w:rFonts w:ascii="Arial" w:hAnsi="Arial" w:cs="Arial"/>
        </w:rPr>
      </w:pPr>
    </w:p>
    <w:p w:rsidR="00B47250" w:rsidRDefault="00B47250" w:rsidP="006B40CE">
      <w:pPr>
        <w:spacing w:line="480" w:lineRule="auto"/>
        <w:jc w:val="both"/>
        <w:rPr>
          <w:rFonts w:ascii="Arial" w:hAnsi="Arial" w:cs="Arial"/>
        </w:rPr>
      </w:pPr>
    </w:p>
    <w:p w:rsidR="00B47250" w:rsidRDefault="00B47250" w:rsidP="006B40CE">
      <w:pPr>
        <w:spacing w:line="480" w:lineRule="auto"/>
        <w:jc w:val="both"/>
        <w:rPr>
          <w:rFonts w:ascii="Arial" w:hAnsi="Arial" w:cs="Arial"/>
        </w:rPr>
      </w:pPr>
    </w:p>
    <w:p w:rsidR="00B47250" w:rsidRDefault="00B47250" w:rsidP="006B40CE">
      <w:pPr>
        <w:spacing w:line="480" w:lineRule="auto"/>
        <w:jc w:val="both"/>
        <w:rPr>
          <w:rFonts w:ascii="Arial" w:hAnsi="Arial" w:cs="Arial"/>
        </w:rPr>
      </w:pPr>
    </w:p>
    <w:p w:rsidR="00B47250" w:rsidRDefault="00B47250" w:rsidP="00B47250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GRÁFICO 5.1: FINANCIAMIENTO DEL PROYECTO</w:t>
      </w:r>
    </w:p>
    <w:p w:rsidR="00B47250" w:rsidRDefault="00B47250" w:rsidP="00B47250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0A2FB3" w:rsidRPr="00A779DD" w:rsidRDefault="00C17E2A" w:rsidP="006B40CE">
      <w:pPr>
        <w:spacing w:line="48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4152900" cy="2524125"/>
            <wp:effectExtent l="0" t="0" r="0" b="0"/>
            <wp:docPr id="1" name="Objet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47250" w:rsidRPr="00C66544" w:rsidRDefault="00B47250" w:rsidP="00B47250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Elaborado por las autoras</w:t>
      </w:r>
    </w:p>
    <w:p w:rsidR="000A2FB3" w:rsidRPr="00A779DD" w:rsidRDefault="000A2FB3" w:rsidP="006B40CE">
      <w:pPr>
        <w:spacing w:line="480" w:lineRule="auto"/>
        <w:jc w:val="both"/>
        <w:rPr>
          <w:rFonts w:ascii="Arial" w:hAnsi="Arial" w:cs="Arial"/>
        </w:rPr>
      </w:pPr>
    </w:p>
    <w:p w:rsidR="00086B8A" w:rsidRDefault="00086B8A" w:rsidP="006B40CE">
      <w:pPr>
        <w:spacing w:line="480" w:lineRule="auto"/>
        <w:jc w:val="both"/>
        <w:rPr>
          <w:rFonts w:ascii="Arial" w:hAnsi="Arial" w:cs="Arial"/>
        </w:rPr>
      </w:pPr>
      <w:r w:rsidRPr="00A779DD">
        <w:rPr>
          <w:rFonts w:ascii="Arial" w:hAnsi="Arial" w:cs="Arial"/>
        </w:rPr>
        <w:t>El préstamo solicitado al Banco del Estado se amortizará a 10 años consecutivos y a una tasa del 8.29%</w:t>
      </w:r>
      <w:r w:rsidR="000D6DD7" w:rsidRPr="00A779DD">
        <w:rPr>
          <w:rFonts w:ascii="Arial" w:hAnsi="Arial" w:cs="Arial"/>
        </w:rPr>
        <w:t xml:space="preserve"> anual.</w:t>
      </w:r>
    </w:p>
    <w:p w:rsidR="009D12BB" w:rsidRPr="00A779DD" w:rsidRDefault="009D12BB" w:rsidP="006B40CE">
      <w:pPr>
        <w:spacing w:line="480" w:lineRule="auto"/>
        <w:jc w:val="both"/>
        <w:rPr>
          <w:rFonts w:ascii="Arial" w:hAnsi="Arial" w:cs="Arial"/>
        </w:rPr>
      </w:pPr>
    </w:p>
    <w:p w:rsidR="00B47250" w:rsidRDefault="00B47250" w:rsidP="00B47250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TABLA 5.1: AMORTIZACIÓN DEL PRESTAMO</w:t>
      </w:r>
    </w:p>
    <w:p w:rsidR="003B7F02" w:rsidRPr="00A779DD" w:rsidRDefault="003B7F02" w:rsidP="000D6DD7">
      <w:pPr>
        <w:jc w:val="center"/>
        <w:rPr>
          <w:rFonts w:ascii="Arial" w:hAnsi="Arial" w:cs="Arial"/>
        </w:rPr>
      </w:pPr>
    </w:p>
    <w:tbl>
      <w:tblPr>
        <w:tblW w:w="7924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878"/>
        <w:gridCol w:w="942"/>
        <w:gridCol w:w="1097"/>
        <w:gridCol w:w="1508"/>
        <w:gridCol w:w="2181"/>
        <w:gridCol w:w="1318"/>
      </w:tblGrid>
      <w:tr w:rsidR="00F22CBB" w:rsidRPr="00A779DD">
        <w:trPr>
          <w:trHeight w:val="270"/>
        </w:trPr>
        <w:tc>
          <w:tcPr>
            <w:tcW w:w="792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CC99"/>
            <w:noWrap/>
            <w:vAlign w:val="bottom"/>
          </w:tcPr>
          <w:p w:rsidR="00F22CBB" w:rsidRPr="00A779DD" w:rsidRDefault="00F22CBB">
            <w:pPr>
              <w:jc w:val="center"/>
              <w:rPr>
                <w:rFonts w:ascii="Arial Black" w:hAnsi="Arial Black" w:cs="Arial"/>
                <w:b/>
                <w:bCs/>
                <w:sz w:val="28"/>
                <w:szCs w:val="28"/>
              </w:rPr>
            </w:pPr>
            <w:r w:rsidRPr="00A779DD">
              <w:rPr>
                <w:rFonts w:ascii="Arial Black" w:hAnsi="Arial Black" w:cs="Arial"/>
                <w:b/>
                <w:bCs/>
                <w:sz w:val="28"/>
                <w:szCs w:val="28"/>
              </w:rPr>
              <w:t>AMORTIZACIÓN Fase I</w:t>
            </w:r>
          </w:p>
        </w:tc>
      </w:tr>
      <w:tr w:rsidR="00F22CBB" w:rsidRPr="00A779DD">
        <w:trPr>
          <w:trHeight w:val="25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2CBB" w:rsidRPr="00A779DD" w:rsidRDefault="00F22CBB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Plazo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2CBB" w:rsidRPr="00A779DD" w:rsidRDefault="00F22CBB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2CBB" w:rsidRPr="00A779DD" w:rsidRDefault="00F22CBB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 xml:space="preserve">            10,00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B" w:rsidRPr="00A779DD" w:rsidRDefault="00F22CBB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 xml:space="preserve"> años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2CBB" w:rsidRPr="00A779DD" w:rsidRDefault="00F22CBB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 xml:space="preserve"> Pagos Anuales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CBB" w:rsidRPr="00A779DD" w:rsidRDefault="00F22CBB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 xml:space="preserve">                 1,00   </w:t>
            </w:r>
          </w:p>
        </w:tc>
      </w:tr>
      <w:tr w:rsidR="00F22CBB" w:rsidRPr="00A779DD">
        <w:trPr>
          <w:trHeight w:val="25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2CBB" w:rsidRPr="00A779DD" w:rsidRDefault="00F22CBB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Tasa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2CBB" w:rsidRPr="00A779DD" w:rsidRDefault="00F22CBB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2CBB" w:rsidRPr="00A779DD" w:rsidRDefault="00F22C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8,29%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2CBB" w:rsidRPr="00A779DD" w:rsidRDefault="00F22CBB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2CBB" w:rsidRPr="00A779DD" w:rsidRDefault="00F22CBB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 xml:space="preserve"> Período de Gracia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CBB" w:rsidRPr="00A779DD" w:rsidRDefault="00F22CBB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 xml:space="preserve">                     -     </w:t>
            </w:r>
          </w:p>
        </w:tc>
      </w:tr>
      <w:tr w:rsidR="00F22CBB" w:rsidRPr="00A779DD">
        <w:trPr>
          <w:trHeight w:val="25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22CBB" w:rsidRPr="00A779DD" w:rsidRDefault="00F22C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9DD">
              <w:rPr>
                <w:rFonts w:ascii="Arial" w:hAnsi="Arial" w:cs="Arial"/>
                <w:b/>
                <w:bCs/>
                <w:sz w:val="16"/>
                <w:szCs w:val="16"/>
              </w:rPr>
              <w:t>PERÍODO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22CBB" w:rsidRPr="00A779DD" w:rsidRDefault="00F22C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9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CUOTA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22CBB" w:rsidRPr="00A779DD" w:rsidRDefault="00F22C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9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INTERÈS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22CBB" w:rsidRPr="00A779DD" w:rsidRDefault="00F22C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9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AMORTIZACIÓN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22CBB" w:rsidRPr="00A779DD" w:rsidRDefault="00F22C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9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CAPITAL AMORTIZADO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F22CBB" w:rsidRPr="00A779DD" w:rsidRDefault="00F22C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9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PAGO ANUAL </w:t>
            </w:r>
          </w:p>
        </w:tc>
      </w:tr>
      <w:tr w:rsidR="00F22CBB" w:rsidRPr="00A779DD">
        <w:trPr>
          <w:trHeight w:val="25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B" w:rsidRPr="00A779DD" w:rsidRDefault="00F22C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B" w:rsidRPr="00A779DD" w:rsidRDefault="00F22CBB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 xml:space="preserve">               -  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B" w:rsidRPr="00A779DD" w:rsidRDefault="00F22CBB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B" w:rsidRPr="00A779DD" w:rsidRDefault="00F22CBB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B" w:rsidRPr="00A779DD" w:rsidRDefault="00F22CBB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 xml:space="preserve">                                      -  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CBB" w:rsidRPr="00A779DD" w:rsidRDefault="00F22CBB" w:rsidP="00F22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1.685.610,40</w:t>
            </w:r>
          </w:p>
        </w:tc>
      </w:tr>
      <w:tr w:rsidR="00F22CBB" w:rsidRPr="00A779DD">
        <w:trPr>
          <w:trHeight w:val="25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B" w:rsidRPr="00A779DD" w:rsidRDefault="00F22C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B" w:rsidRPr="00A779DD" w:rsidRDefault="00F22C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 xml:space="preserve">254.501,32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B" w:rsidRPr="00A779DD" w:rsidRDefault="00F22CBB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 xml:space="preserve">   139.737,10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B" w:rsidRPr="00A779DD" w:rsidRDefault="00F22CBB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 xml:space="preserve">          114.764,22  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B" w:rsidRPr="00A779DD" w:rsidRDefault="00F22CBB" w:rsidP="00F22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139.737,10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CBB" w:rsidRPr="00A779DD" w:rsidRDefault="00F22CBB" w:rsidP="00F22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1.570.846,18</w:t>
            </w:r>
          </w:p>
        </w:tc>
      </w:tr>
      <w:tr w:rsidR="00F22CBB" w:rsidRPr="00A779DD">
        <w:trPr>
          <w:trHeight w:val="25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B" w:rsidRPr="00A779DD" w:rsidRDefault="00F22C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B" w:rsidRPr="00A779DD" w:rsidRDefault="00F22C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 xml:space="preserve">254.501,32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B" w:rsidRPr="00A779DD" w:rsidRDefault="00F22CBB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 xml:space="preserve">   130.223,15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B" w:rsidRPr="00A779DD" w:rsidRDefault="00F22CBB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 xml:space="preserve">          124.278,17  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B" w:rsidRPr="00A779DD" w:rsidRDefault="00F22CBB" w:rsidP="00F22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269.960,25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CBB" w:rsidRPr="00A779DD" w:rsidRDefault="00F22CBB" w:rsidP="00F22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1.446.568,01</w:t>
            </w:r>
          </w:p>
        </w:tc>
      </w:tr>
      <w:tr w:rsidR="00F22CBB" w:rsidRPr="00A779DD">
        <w:trPr>
          <w:trHeight w:val="25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B" w:rsidRPr="00A779DD" w:rsidRDefault="00F22C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B" w:rsidRPr="00A779DD" w:rsidRDefault="00F22C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 xml:space="preserve">254.501,32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B" w:rsidRPr="00A779DD" w:rsidRDefault="00F22CBB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 xml:space="preserve">   119.920,49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B" w:rsidRPr="00A779DD" w:rsidRDefault="00F22CBB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 xml:space="preserve">          134.580,83  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B" w:rsidRPr="00A779DD" w:rsidRDefault="00F22CBB" w:rsidP="00F22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389.880,74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CBB" w:rsidRPr="00A779DD" w:rsidRDefault="00F22CBB" w:rsidP="00F22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1.311.987,18</w:t>
            </w:r>
          </w:p>
        </w:tc>
      </w:tr>
      <w:tr w:rsidR="00F22CBB" w:rsidRPr="00A779DD">
        <w:trPr>
          <w:trHeight w:val="25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B" w:rsidRPr="00A779DD" w:rsidRDefault="00F22C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B" w:rsidRPr="00A779DD" w:rsidRDefault="00F22C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 xml:space="preserve">254.501,32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B" w:rsidRPr="00A779DD" w:rsidRDefault="00F22CBB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 xml:space="preserve">   108.763,74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B" w:rsidRPr="00A779DD" w:rsidRDefault="00F22CBB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 xml:space="preserve">          145.737,58  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B" w:rsidRPr="00A779DD" w:rsidRDefault="00F22CBB" w:rsidP="00F22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498.644,48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CBB" w:rsidRPr="00A779DD" w:rsidRDefault="00F22CBB" w:rsidP="00F22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1.166.249,59</w:t>
            </w:r>
          </w:p>
        </w:tc>
      </w:tr>
      <w:tr w:rsidR="00F22CBB" w:rsidRPr="00A779DD">
        <w:trPr>
          <w:trHeight w:val="25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B" w:rsidRPr="00A779DD" w:rsidRDefault="00F22C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B" w:rsidRPr="00A779DD" w:rsidRDefault="00F22C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 xml:space="preserve">254.501,32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B" w:rsidRPr="00A779DD" w:rsidRDefault="00F22CBB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 xml:space="preserve">     96.682,09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B" w:rsidRPr="00A779DD" w:rsidRDefault="00F22CBB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 xml:space="preserve">          157.819,23  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B" w:rsidRPr="00A779DD" w:rsidRDefault="00F22CBB" w:rsidP="00F22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595.326,57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CBB" w:rsidRPr="00A779DD" w:rsidRDefault="00F22CBB" w:rsidP="00F22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1.008.430,36</w:t>
            </w:r>
          </w:p>
        </w:tc>
      </w:tr>
      <w:tr w:rsidR="00F22CBB" w:rsidRPr="00A779DD">
        <w:trPr>
          <w:trHeight w:val="25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B" w:rsidRPr="00A779DD" w:rsidRDefault="00F22C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B" w:rsidRPr="00A779DD" w:rsidRDefault="00F22C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 xml:space="preserve">254.501,32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B" w:rsidRPr="00A779DD" w:rsidRDefault="00F22CBB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 xml:space="preserve">     83.598,88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B" w:rsidRPr="00A779DD" w:rsidRDefault="00F22CBB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 xml:space="preserve">          170.902,44  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B" w:rsidRPr="00A779DD" w:rsidRDefault="00F22CBB" w:rsidP="00F22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678.925,44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CBB" w:rsidRPr="00A779DD" w:rsidRDefault="00F22CBB" w:rsidP="00F22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837.527,92</w:t>
            </w:r>
          </w:p>
        </w:tc>
      </w:tr>
      <w:tr w:rsidR="00F22CBB" w:rsidRPr="00A779DD">
        <w:trPr>
          <w:trHeight w:val="25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B" w:rsidRPr="00A779DD" w:rsidRDefault="00F22C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B" w:rsidRPr="00A779DD" w:rsidRDefault="00F22C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 xml:space="preserve">254.501,32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B" w:rsidRPr="00A779DD" w:rsidRDefault="00F22CBB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 xml:space="preserve">     69.431,06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B" w:rsidRPr="00A779DD" w:rsidRDefault="00F22CBB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 xml:space="preserve">          185.070,26  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B" w:rsidRPr="00A779DD" w:rsidRDefault="00F22CBB" w:rsidP="00F22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748.356,51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CBB" w:rsidRPr="00A779DD" w:rsidRDefault="00F22CBB" w:rsidP="00F22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652.457,67</w:t>
            </w:r>
          </w:p>
        </w:tc>
      </w:tr>
      <w:tr w:rsidR="00F22CBB" w:rsidRPr="00A779DD">
        <w:trPr>
          <w:trHeight w:val="25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B" w:rsidRPr="00A779DD" w:rsidRDefault="00F22C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B" w:rsidRPr="00A779DD" w:rsidRDefault="00F22C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 xml:space="preserve">254.501,32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B" w:rsidRPr="00A779DD" w:rsidRDefault="00F22CBB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 xml:space="preserve">     54.088,74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B" w:rsidRPr="00A779DD" w:rsidRDefault="00F22CBB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 xml:space="preserve">          200.412,58  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B" w:rsidRPr="00A779DD" w:rsidRDefault="00F22CBB" w:rsidP="00F22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802.445,25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CBB" w:rsidRPr="00A779DD" w:rsidRDefault="00F22CBB" w:rsidP="00F22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452.045,09</w:t>
            </w:r>
          </w:p>
        </w:tc>
      </w:tr>
      <w:tr w:rsidR="00F22CBB" w:rsidRPr="00A779DD">
        <w:trPr>
          <w:trHeight w:val="25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B" w:rsidRPr="00A779DD" w:rsidRDefault="00F22C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B" w:rsidRPr="00A779DD" w:rsidRDefault="00F22C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 xml:space="preserve">254.501,32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B" w:rsidRPr="00A779DD" w:rsidRDefault="00F22CBB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 xml:space="preserve">     37.474,54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B" w:rsidRPr="00A779DD" w:rsidRDefault="00F22CBB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 xml:space="preserve">          217.026,78  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B" w:rsidRPr="00A779DD" w:rsidRDefault="00F22CBB" w:rsidP="00F22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839.919,79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CBB" w:rsidRPr="00A779DD" w:rsidRDefault="00F22CBB" w:rsidP="00F22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235.018,30</w:t>
            </w:r>
          </w:p>
        </w:tc>
      </w:tr>
      <w:tr w:rsidR="00F22CBB" w:rsidRPr="00A779DD">
        <w:trPr>
          <w:trHeight w:val="27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B" w:rsidRPr="00A779DD" w:rsidRDefault="00F22C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B" w:rsidRPr="00A779DD" w:rsidRDefault="00F22C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 xml:space="preserve">254.501,32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B" w:rsidRPr="00A779DD" w:rsidRDefault="00F22CBB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 xml:space="preserve">     19.483,02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B" w:rsidRPr="00A779DD" w:rsidRDefault="00F22CBB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 xml:space="preserve">          235.018,30  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B" w:rsidRPr="00A779DD" w:rsidRDefault="00F22CBB" w:rsidP="00F22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859.402,80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CBB" w:rsidRPr="00A779DD" w:rsidRDefault="00F22CBB" w:rsidP="00F22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-                0,00</w:t>
            </w:r>
          </w:p>
        </w:tc>
      </w:tr>
    </w:tbl>
    <w:p w:rsidR="009D12BB" w:rsidRDefault="009D12BB" w:rsidP="00B47250">
      <w:pPr>
        <w:jc w:val="center"/>
        <w:rPr>
          <w:rFonts w:ascii="Arial" w:hAnsi="Arial" w:cs="Arial"/>
          <w:b/>
          <w:sz w:val="16"/>
          <w:szCs w:val="16"/>
        </w:rPr>
      </w:pPr>
    </w:p>
    <w:p w:rsidR="00F22CBB" w:rsidRPr="00A779DD" w:rsidRDefault="00B47250" w:rsidP="00B4725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16"/>
          <w:szCs w:val="16"/>
        </w:rPr>
        <w:t>Elaborado por las autoras</w:t>
      </w:r>
    </w:p>
    <w:p w:rsidR="003B7F02" w:rsidRPr="00A779DD" w:rsidRDefault="003B7F02" w:rsidP="00F22CBB">
      <w:pPr>
        <w:jc w:val="both"/>
        <w:rPr>
          <w:rFonts w:ascii="Arial" w:hAnsi="Arial" w:cs="Arial"/>
          <w:b/>
          <w:sz w:val="28"/>
          <w:szCs w:val="28"/>
        </w:rPr>
      </w:pPr>
    </w:p>
    <w:p w:rsidR="00F62682" w:rsidRPr="00A779DD" w:rsidRDefault="00F62682" w:rsidP="00EF014E">
      <w:pPr>
        <w:jc w:val="both"/>
        <w:rPr>
          <w:rFonts w:ascii="Arial" w:hAnsi="Arial" w:cs="Arial"/>
          <w:b/>
          <w:sz w:val="28"/>
          <w:szCs w:val="28"/>
        </w:rPr>
      </w:pPr>
      <w:r w:rsidRPr="00A779DD">
        <w:rPr>
          <w:rFonts w:ascii="Arial" w:hAnsi="Arial" w:cs="Arial"/>
          <w:b/>
          <w:sz w:val="28"/>
          <w:szCs w:val="28"/>
        </w:rPr>
        <w:t>5.2</w:t>
      </w:r>
      <w:r w:rsidRPr="00A779DD">
        <w:rPr>
          <w:rFonts w:ascii="Arial" w:hAnsi="Arial" w:cs="Arial"/>
          <w:b/>
          <w:sz w:val="28"/>
          <w:szCs w:val="28"/>
        </w:rPr>
        <w:tab/>
        <w:t>COSTOS DE PRODUCCIÓN DEL PROYECTO</w:t>
      </w:r>
    </w:p>
    <w:p w:rsidR="00695045" w:rsidRPr="00A779DD" w:rsidRDefault="00695045" w:rsidP="00356A55">
      <w:pPr>
        <w:jc w:val="both"/>
        <w:rPr>
          <w:rFonts w:ascii="Arial" w:hAnsi="Arial" w:cs="Arial"/>
        </w:rPr>
      </w:pPr>
    </w:p>
    <w:p w:rsidR="00A705D9" w:rsidRPr="00A779DD" w:rsidRDefault="00A705D9" w:rsidP="00356A55">
      <w:pPr>
        <w:jc w:val="both"/>
        <w:rPr>
          <w:rFonts w:ascii="Arial" w:hAnsi="Arial" w:cs="Arial"/>
        </w:rPr>
      </w:pPr>
    </w:p>
    <w:p w:rsidR="003F010B" w:rsidRPr="00A779DD" w:rsidRDefault="00695045" w:rsidP="00F22CBB">
      <w:pPr>
        <w:spacing w:line="480" w:lineRule="auto"/>
        <w:jc w:val="both"/>
        <w:rPr>
          <w:rFonts w:ascii="Arial" w:hAnsi="Arial" w:cs="Arial"/>
        </w:rPr>
      </w:pPr>
      <w:r w:rsidRPr="00A779DD">
        <w:rPr>
          <w:rFonts w:ascii="Arial" w:hAnsi="Arial" w:cs="Arial"/>
        </w:rPr>
        <w:t>Los costos de producción</w:t>
      </w:r>
      <w:r w:rsidR="003F010B" w:rsidRPr="00A779DD">
        <w:rPr>
          <w:rFonts w:ascii="Arial" w:hAnsi="Arial" w:cs="Arial"/>
        </w:rPr>
        <w:t xml:space="preserve"> del proyecto</w:t>
      </w:r>
      <w:r w:rsidRPr="00A779DD">
        <w:rPr>
          <w:rFonts w:ascii="Arial" w:hAnsi="Arial" w:cs="Arial"/>
        </w:rPr>
        <w:t xml:space="preserve"> se dividen en </w:t>
      </w:r>
      <w:r w:rsidR="003F010B" w:rsidRPr="00A779DD">
        <w:rPr>
          <w:rFonts w:ascii="Arial" w:hAnsi="Arial" w:cs="Arial"/>
        </w:rPr>
        <w:t>Costos Directos y Costos</w:t>
      </w:r>
      <w:r w:rsidR="00F22CBB" w:rsidRPr="00A779DD">
        <w:rPr>
          <w:rFonts w:ascii="Arial" w:hAnsi="Arial" w:cs="Arial"/>
        </w:rPr>
        <w:t xml:space="preserve"> </w:t>
      </w:r>
      <w:r w:rsidR="003F010B" w:rsidRPr="00A779DD">
        <w:rPr>
          <w:rFonts w:ascii="Arial" w:hAnsi="Arial" w:cs="Arial"/>
        </w:rPr>
        <w:t>Indirectos.</w:t>
      </w:r>
    </w:p>
    <w:p w:rsidR="003F010B" w:rsidRPr="00A779DD" w:rsidRDefault="003F010B" w:rsidP="00F22CBB">
      <w:pPr>
        <w:spacing w:line="480" w:lineRule="auto"/>
        <w:jc w:val="both"/>
        <w:rPr>
          <w:rFonts w:ascii="Arial" w:hAnsi="Arial" w:cs="Arial"/>
        </w:rPr>
      </w:pPr>
    </w:p>
    <w:p w:rsidR="00356A55" w:rsidRPr="00A779DD" w:rsidRDefault="003F010B" w:rsidP="00F22CBB">
      <w:pPr>
        <w:spacing w:line="480" w:lineRule="auto"/>
        <w:jc w:val="both"/>
        <w:rPr>
          <w:rFonts w:ascii="Arial" w:hAnsi="Arial" w:cs="Arial"/>
        </w:rPr>
      </w:pPr>
      <w:r w:rsidRPr="00A779DD">
        <w:rPr>
          <w:rFonts w:ascii="Arial" w:hAnsi="Arial" w:cs="Arial"/>
        </w:rPr>
        <w:t>L</w:t>
      </w:r>
      <w:r w:rsidR="00695045" w:rsidRPr="00A779DD">
        <w:rPr>
          <w:rFonts w:ascii="Arial" w:hAnsi="Arial" w:cs="Arial"/>
        </w:rPr>
        <w:t xml:space="preserve">os </w:t>
      </w:r>
      <w:r w:rsidRPr="00A779DD">
        <w:rPr>
          <w:rFonts w:ascii="Arial" w:hAnsi="Arial" w:cs="Arial"/>
          <w:b/>
        </w:rPr>
        <w:t>Costos Directos</w:t>
      </w:r>
      <w:r w:rsidR="00221F0E" w:rsidRPr="00A779DD">
        <w:rPr>
          <w:rStyle w:val="Refdenotaalpie"/>
          <w:rFonts w:ascii="Arial" w:hAnsi="Arial" w:cs="Arial"/>
          <w:b/>
        </w:rPr>
        <w:footnoteReference w:id="9"/>
      </w:r>
      <w:r w:rsidR="00695045" w:rsidRPr="00A779DD">
        <w:rPr>
          <w:rFonts w:ascii="Arial" w:hAnsi="Arial" w:cs="Arial"/>
        </w:rPr>
        <w:t xml:space="preserve"> están conformados por el costo de la Mano de Obra Directa</w:t>
      </w:r>
      <w:r w:rsidR="00CA4965">
        <w:rPr>
          <w:rFonts w:ascii="Arial" w:hAnsi="Arial" w:cs="Arial"/>
        </w:rPr>
        <w:t xml:space="preserve">; Equipos de Protección Personal, Herramientas e Implementos y Maquinarias y Equipos </w:t>
      </w:r>
      <w:r w:rsidR="00695045" w:rsidRPr="00A779DD">
        <w:rPr>
          <w:rFonts w:ascii="Arial" w:hAnsi="Arial" w:cs="Arial"/>
        </w:rPr>
        <w:t xml:space="preserve"> </w:t>
      </w:r>
      <w:r w:rsidR="00CA4965">
        <w:rPr>
          <w:rFonts w:ascii="Arial" w:hAnsi="Arial" w:cs="Arial"/>
        </w:rPr>
        <w:t xml:space="preserve">de cada una de  las actividades. Los Costos de Mano de Obra </w:t>
      </w:r>
      <w:r w:rsidRPr="00A779DD">
        <w:rPr>
          <w:rFonts w:ascii="Arial" w:hAnsi="Arial" w:cs="Arial"/>
        </w:rPr>
        <w:t xml:space="preserve"> fueron calculados en bas</w:t>
      </w:r>
      <w:r w:rsidR="00F22CBB" w:rsidRPr="00A779DD">
        <w:rPr>
          <w:rFonts w:ascii="Arial" w:hAnsi="Arial" w:cs="Arial"/>
        </w:rPr>
        <w:t>e al salario</w:t>
      </w:r>
      <w:r w:rsidR="00F22CBB" w:rsidRPr="00A779DD">
        <w:rPr>
          <w:rStyle w:val="Refdenotaalpie"/>
          <w:rFonts w:ascii="Arial" w:hAnsi="Arial" w:cs="Arial"/>
        </w:rPr>
        <w:footnoteReference w:id="10"/>
      </w:r>
      <w:r w:rsidR="00F22CBB" w:rsidRPr="00A779DD">
        <w:rPr>
          <w:rFonts w:ascii="Arial" w:hAnsi="Arial" w:cs="Arial"/>
        </w:rPr>
        <w:t xml:space="preserve"> de cada trabajador</w:t>
      </w:r>
      <w:r w:rsidRPr="00A779DD">
        <w:rPr>
          <w:rFonts w:ascii="Arial" w:hAnsi="Arial" w:cs="Arial"/>
        </w:rPr>
        <w:t xml:space="preserve">. En el siguiente cuadro se detallan los costos directos </w:t>
      </w:r>
      <w:r w:rsidR="000A381F">
        <w:rPr>
          <w:rFonts w:ascii="Arial" w:hAnsi="Arial" w:cs="Arial"/>
        </w:rPr>
        <w:t>correspondiente</w:t>
      </w:r>
      <w:r w:rsidR="00306AA1">
        <w:rPr>
          <w:rFonts w:ascii="Arial" w:hAnsi="Arial" w:cs="Arial"/>
        </w:rPr>
        <w:t>s</w:t>
      </w:r>
      <w:r w:rsidR="000A381F">
        <w:rPr>
          <w:rFonts w:ascii="Arial" w:hAnsi="Arial" w:cs="Arial"/>
        </w:rPr>
        <w:t xml:space="preserve"> al año 2006</w:t>
      </w:r>
      <w:r w:rsidR="005B4246" w:rsidRPr="00A779DD">
        <w:rPr>
          <w:rFonts w:ascii="Arial" w:hAnsi="Arial" w:cs="Arial"/>
        </w:rPr>
        <w:t xml:space="preserve"> </w:t>
      </w:r>
      <w:r w:rsidRPr="00A779DD">
        <w:rPr>
          <w:rFonts w:ascii="Arial" w:hAnsi="Arial" w:cs="Arial"/>
        </w:rPr>
        <w:t>del proyecto:</w:t>
      </w:r>
    </w:p>
    <w:p w:rsidR="00A4549F" w:rsidRDefault="00A4549F" w:rsidP="005B4246">
      <w:pPr>
        <w:spacing w:line="480" w:lineRule="auto"/>
        <w:jc w:val="both"/>
        <w:rPr>
          <w:rFonts w:ascii="Arial" w:hAnsi="Arial" w:cs="Arial"/>
        </w:rPr>
      </w:pPr>
    </w:p>
    <w:p w:rsidR="00A4549F" w:rsidRDefault="00A4549F" w:rsidP="005B4246">
      <w:pPr>
        <w:spacing w:line="480" w:lineRule="auto"/>
        <w:jc w:val="both"/>
        <w:rPr>
          <w:rFonts w:ascii="Arial" w:hAnsi="Arial" w:cs="Arial"/>
        </w:rPr>
      </w:pPr>
    </w:p>
    <w:p w:rsidR="00A4549F" w:rsidRDefault="00A4549F" w:rsidP="005B4246">
      <w:pPr>
        <w:spacing w:line="480" w:lineRule="auto"/>
        <w:jc w:val="both"/>
        <w:rPr>
          <w:rFonts w:ascii="Arial" w:hAnsi="Arial" w:cs="Arial"/>
        </w:rPr>
      </w:pPr>
    </w:p>
    <w:p w:rsidR="00A4549F" w:rsidRDefault="00A4549F" w:rsidP="005B4246">
      <w:pPr>
        <w:spacing w:line="480" w:lineRule="auto"/>
        <w:jc w:val="both"/>
        <w:rPr>
          <w:rFonts w:ascii="Arial" w:hAnsi="Arial" w:cs="Arial"/>
        </w:rPr>
      </w:pPr>
    </w:p>
    <w:p w:rsidR="00A4549F" w:rsidRDefault="00A4549F" w:rsidP="005B4246">
      <w:pPr>
        <w:spacing w:line="480" w:lineRule="auto"/>
        <w:jc w:val="both"/>
        <w:rPr>
          <w:rFonts w:ascii="Arial" w:hAnsi="Arial" w:cs="Arial"/>
        </w:rPr>
      </w:pPr>
    </w:p>
    <w:p w:rsidR="00A4549F" w:rsidRDefault="00A4549F" w:rsidP="005B4246">
      <w:pPr>
        <w:spacing w:line="480" w:lineRule="auto"/>
        <w:jc w:val="both"/>
        <w:rPr>
          <w:rFonts w:ascii="Arial" w:hAnsi="Arial" w:cs="Arial"/>
        </w:rPr>
      </w:pPr>
    </w:p>
    <w:p w:rsidR="00A4549F" w:rsidRDefault="00A4549F" w:rsidP="005B4246">
      <w:pPr>
        <w:spacing w:line="480" w:lineRule="auto"/>
        <w:jc w:val="both"/>
        <w:rPr>
          <w:rFonts w:ascii="Arial" w:hAnsi="Arial" w:cs="Arial"/>
        </w:rPr>
      </w:pPr>
    </w:p>
    <w:p w:rsidR="00A4549F" w:rsidRDefault="00A4549F" w:rsidP="005B4246">
      <w:pPr>
        <w:spacing w:line="480" w:lineRule="auto"/>
        <w:jc w:val="both"/>
        <w:rPr>
          <w:rFonts w:ascii="Arial" w:hAnsi="Arial" w:cs="Arial"/>
        </w:rPr>
      </w:pPr>
    </w:p>
    <w:p w:rsidR="00A4549F" w:rsidRDefault="00A4549F" w:rsidP="005B4246">
      <w:pPr>
        <w:spacing w:line="480" w:lineRule="auto"/>
        <w:jc w:val="both"/>
        <w:rPr>
          <w:rFonts w:ascii="Arial" w:hAnsi="Arial" w:cs="Arial"/>
        </w:rPr>
      </w:pPr>
    </w:p>
    <w:p w:rsidR="00A4549F" w:rsidRDefault="00A4549F" w:rsidP="005B4246">
      <w:pPr>
        <w:spacing w:line="480" w:lineRule="auto"/>
        <w:jc w:val="both"/>
        <w:rPr>
          <w:rFonts w:ascii="Arial" w:hAnsi="Arial" w:cs="Arial"/>
        </w:rPr>
      </w:pPr>
    </w:p>
    <w:p w:rsidR="00A4549F" w:rsidRDefault="00A4549F" w:rsidP="005B4246">
      <w:pPr>
        <w:spacing w:line="480" w:lineRule="auto"/>
        <w:jc w:val="both"/>
        <w:rPr>
          <w:rFonts w:ascii="Arial" w:hAnsi="Arial" w:cs="Arial"/>
        </w:rPr>
      </w:pPr>
    </w:p>
    <w:p w:rsidR="00A4549F" w:rsidRDefault="00A4549F" w:rsidP="005B4246">
      <w:pPr>
        <w:spacing w:line="480" w:lineRule="auto"/>
        <w:jc w:val="both"/>
        <w:rPr>
          <w:rFonts w:ascii="Arial" w:hAnsi="Arial" w:cs="Arial"/>
        </w:rPr>
      </w:pPr>
    </w:p>
    <w:p w:rsidR="00A4549F" w:rsidRDefault="00A4549F" w:rsidP="005B4246">
      <w:pPr>
        <w:spacing w:line="480" w:lineRule="auto"/>
        <w:jc w:val="both"/>
        <w:rPr>
          <w:rFonts w:ascii="Arial" w:hAnsi="Arial" w:cs="Arial"/>
        </w:rPr>
      </w:pPr>
    </w:p>
    <w:p w:rsidR="00A4549F" w:rsidRDefault="00A4549F" w:rsidP="005B4246">
      <w:pPr>
        <w:spacing w:line="480" w:lineRule="auto"/>
        <w:jc w:val="both"/>
        <w:rPr>
          <w:rFonts w:ascii="Arial" w:hAnsi="Arial" w:cs="Arial"/>
        </w:rPr>
      </w:pPr>
    </w:p>
    <w:p w:rsidR="00A4549F" w:rsidRDefault="00A4549F" w:rsidP="005B4246">
      <w:pPr>
        <w:spacing w:line="480" w:lineRule="auto"/>
        <w:jc w:val="both"/>
        <w:rPr>
          <w:rFonts w:ascii="Arial" w:hAnsi="Arial" w:cs="Arial"/>
        </w:rPr>
      </w:pPr>
    </w:p>
    <w:p w:rsidR="00A4549F" w:rsidRDefault="00A4549F" w:rsidP="005B4246">
      <w:pPr>
        <w:spacing w:line="480" w:lineRule="auto"/>
        <w:jc w:val="both"/>
        <w:rPr>
          <w:rFonts w:ascii="Arial" w:hAnsi="Arial" w:cs="Arial"/>
        </w:rPr>
      </w:pPr>
    </w:p>
    <w:p w:rsidR="00A4549F" w:rsidRDefault="00A4549F" w:rsidP="005B4246">
      <w:pPr>
        <w:spacing w:line="480" w:lineRule="auto"/>
        <w:jc w:val="both"/>
        <w:rPr>
          <w:rFonts w:ascii="Arial" w:hAnsi="Arial" w:cs="Arial"/>
        </w:rPr>
      </w:pPr>
    </w:p>
    <w:p w:rsidR="00A4549F" w:rsidRDefault="00A4549F" w:rsidP="005B4246">
      <w:pPr>
        <w:spacing w:line="480" w:lineRule="auto"/>
        <w:jc w:val="both"/>
        <w:rPr>
          <w:rFonts w:ascii="Arial" w:hAnsi="Arial" w:cs="Arial"/>
        </w:rPr>
      </w:pPr>
    </w:p>
    <w:p w:rsidR="00A4549F" w:rsidRDefault="00A4549F" w:rsidP="005B4246">
      <w:pPr>
        <w:spacing w:line="480" w:lineRule="auto"/>
        <w:jc w:val="both"/>
        <w:rPr>
          <w:rFonts w:ascii="Arial" w:hAnsi="Arial" w:cs="Arial"/>
        </w:rPr>
      </w:pPr>
    </w:p>
    <w:p w:rsidR="00A4549F" w:rsidRDefault="00A4549F" w:rsidP="005B4246">
      <w:pPr>
        <w:spacing w:line="480" w:lineRule="auto"/>
        <w:jc w:val="both"/>
        <w:rPr>
          <w:rFonts w:ascii="Arial" w:hAnsi="Arial" w:cs="Arial"/>
        </w:rPr>
      </w:pPr>
    </w:p>
    <w:p w:rsidR="00A4549F" w:rsidRDefault="00A4549F" w:rsidP="005B4246">
      <w:pPr>
        <w:spacing w:line="480" w:lineRule="auto"/>
        <w:jc w:val="both"/>
        <w:rPr>
          <w:rFonts w:ascii="Arial" w:hAnsi="Arial" w:cs="Arial"/>
        </w:rPr>
      </w:pPr>
    </w:p>
    <w:p w:rsidR="00A4549F" w:rsidRDefault="00A4549F" w:rsidP="005B4246">
      <w:pPr>
        <w:spacing w:line="480" w:lineRule="auto"/>
        <w:jc w:val="both"/>
        <w:rPr>
          <w:rFonts w:ascii="Arial" w:hAnsi="Arial" w:cs="Arial"/>
        </w:rPr>
      </w:pPr>
    </w:p>
    <w:p w:rsidR="00A4549F" w:rsidRDefault="00A4549F" w:rsidP="005B4246">
      <w:pPr>
        <w:spacing w:line="480" w:lineRule="auto"/>
        <w:jc w:val="both"/>
        <w:rPr>
          <w:rFonts w:ascii="Arial" w:hAnsi="Arial" w:cs="Arial"/>
        </w:rPr>
      </w:pPr>
    </w:p>
    <w:p w:rsidR="00A4549F" w:rsidRDefault="00A4549F" w:rsidP="005B4246">
      <w:pPr>
        <w:spacing w:line="480" w:lineRule="auto"/>
        <w:jc w:val="both"/>
        <w:rPr>
          <w:rFonts w:ascii="Arial" w:hAnsi="Arial" w:cs="Arial"/>
        </w:rPr>
      </w:pPr>
    </w:p>
    <w:p w:rsidR="00A4549F" w:rsidRDefault="00A4549F" w:rsidP="005B4246">
      <w:pPr>
        <w:spacing w:line="480" w:lineRule="auto"/>
        <w:jc w:val="both"/>
        <w:rPr>
          <w:rFonts w:ascii="Arial" w:hAnsi="Arial" w:cs="Arial"/>
        </w:rPr>
      </w:pPr>
    </w:p>
    <w:p w:rsidR="00A4549F" w:rsidRDefault="00A4549F" w:rsidP="005B4246">
      <w:pPr>
        <w:spacing w:line="480" w:lineRule="auto"/>
        <w:jc w:val="both"/>
        <w:rPr>
          <w:rFonts w:ascii="Arial" w:hAnsi="Arial" w:cs="Arial"/>
        </w:rPr>
      </w:pPr>
    </w:p>
    <w:p w:rsidR="00A4549F" w:rsidRDefault="00A4549F" w:rsidP="005B4246">
      <w:pPr>
        <w:spacing w:line="480" w:lineRule="auto"/>
        <w:jc w:val="both"/>
        <w:rPr>
          <w:rFonts w:ascii="Arial" w:hAnsi="Arial" w:cs="Arial"/>
        </w:rPr>
      </w:pPr>
    </w:p>
    <w:p w:rsidR="00A4549F" w:rsidRDefault="00A4549F" w:rsidP="005B4246">
      <w:pPr>
        <w:spacing w:line="480" w:lineRule="auto"/>
        <w:jc w:val="both"/>
        <w:rPr>
          <w:rFonts w:ascii="Arial" w:hAnsi="Arial" w:cs="Arial"/>
        </w:rPr>
      </w:pPr>
    </w:p>
    <w:p w:rsidR="00A4549F" w:rsidRDefault="00A4549F" w:rsidP="005B4246">
      <w:pPr>
        <w:spacing w:line="480" w:lineRule="auto"/>
        <w:jc w:val="both"/>
        <w:rPr>
          <w:rFonts w:ascii="Arial" w:hAnsi="Arial" w:cs="Arial"/>
        </w:rPr>
      </w:pPr>
    </w:p>
    <w:p w:rsidR="00A4549F" w:rsidRDefault="00A4549F" w:rsidP="005B4246">
      <w:pPr>
        <w:spacing w:line="480" w:lineRule="auto"/>
        <w:jc w:val="both"/>
        <w:rPr>
          <w:rFonts w:ascii="Arial" w:hAnsi="Arial" w:cs="Arial"/>
        </w:rPr>
      </w:pPr>
    </w:p>
    <w:p w:rsidR="00A4549F" w:rsidRDefault="00A4549F" w:rsidP="005B4246">
      <w:pPr>
        <w:spacing w:line="480" w:lineRule="auto"/>
        <w:jc w:val="both"/>
        <w:rPr>
          <w:rFonts w:ascii="Arial" w:hAnsi="Arial" w:cs="Arial"/>
        </w:rPr>
      </w:pPr>
    </w:p>
    <w:p w:rsidR="00A4549F" w:rsidRDefault="00A4549F" w:rsidP="005B4246">
      <w:pPr>
        <w:spacing w:line="480" w:lineRule="auto"/>
        <w:jc w:val="both"/>
        <w:rPr>
          <w:rFonts w:ascii="Arial" w:hAnsi="Arial" w:cs="Arial"/>
        </w:rPr>
      </w:pPr>
    </w:p>
    <w:p w:rsidR="00A4549F" w:rsidRDefault="00A4549F" w:rsidP="005B4246">
      <w:pPr>
        <w:spacing w:line="480" w:lineRule="auto"/>
        <w:jc w:val="both"/>
        <w:rPr>
          <w:rFonts w:ascii="Arial" w:hAnsi="Arial" w:cs="Arial"/>
        </w:rPr>
      </w:pPr>
    </w:p>
    <w:p w:rsidR="00A4549F" w:rsidRDefault="00A4549F" w:rsidP="005B4246">
      <w:pPr>
        <w:spacing w:line="480" w:lineRule="auto"/>
        <w:jc w:val="both"/>
        <w:rPr>
          <w:rFonts w:ascii="Arial" w:hAnsi="Arial" w:cs="Arial"/>
        </w:rPr>
      </w:pPr>
    </w:p>
    <w:p w:rsidR="00695045" w:rsidRDefault="003F010B" w:rsidP="005B4246">
      <w:pPr>
        <w:spacing w:line="480" w:lineRule="auto"/>
        <w:jc w:val="both"/>
        <w:rPr>
          <w:rFonts w:ascii="Arial" w:hAnsi="Arial" w:cs="Arial"/>
        </w:rPr>
      </w:pPr>
      <w:r w:rsidRPr="00A779DD">
        <w:rPr>
          <w:rFonts w:ascii="Arial" w:hAnsi="Arial" w:cs="Arial"/>
        </w:rPr>
        <w:t xml:space="preserve">Los </w:t>
      </w:r>
      <w:r w:rsidRPr="00A779DD">
        <w:rPr>
          <w:rFonts w:ascii="Arial" w:hAnsi="Arial" w:cs="Arial"/>
          <w:b/>
        </w:rPr>
        <w:t>Costos I</w:t>
      </w:r>
      <w:r w:rsidR="005051F7" w:rsidRPr="00A779DD">
        <w:rPr>
          <w:rFonts w:ascii="Arial" w:hAnsi="Arial" w:cs="Arial"/>
          <w:b/>
        </w:rPr>
        <w:t>nd</w:t>
      </w:r>
      <w:r w:rsidRPr="00A779DD">
        <w:rPr>
          <w:rFonts w:ascii="Arial" w:hAnsi="Arial" w:cs="Arial"/>
          <w:b/>
        </w:rPr>
        <w:t>irectos</w:t>
      </w:r>
      <w:r w:rsidR="00221F0E" w:rsidRPr="00A779DD">
        <w:rPr>
          <w:rStyle w:val="Refdenotaalpie"/>
          <w:rFonts w:ascii="Arial" w:hAnsi="Arial" w:cs="Arial"/>
          <w:b/>
        </w:rPr>
        <w:footnoteReference w:id="11"/>
      </w:r>
      <w:r w:rsidRPr="00A779DD">
        <w:rPr>
          <w:rFonts w:ascii="Arial" w:hAnsi="Arial" w:cs="Arial"/>
        </w:rPr>
        <w:t xml:space="preserve"> abarcan  los gastos de Administración e Imprevistos, los cuales se estiman que son el 3% y 2% de los Costos Directos.  A continuación se</w:t>
      </w:r>
      <w:r w:rsidR="000D66C6" w:rsidRPr="00A779DD">
        <w:rPr>
          <w:rFonts w:ascii="Arial" w:hAnsi="Arial" w:cs="Arial"/>
        </w:rPr>
        <w:t xml:space="preserve"> detalla el cuadro de los Costos Indirectos </w:t>
      </w:r>
      <w:r w:rsidR="005B4246" w:rsidRPr="00A779DD">
        <w:rPr>
          <w:rFonts w:ascii="Arial" w:hAnsi="Arial" w:cs="Arial"/>
        </w:rPr>
        <w:t xml:space="preserve">Anuales </w:t>
      </w:r>
      <w:r w:rsidR="000D66C6" w:rsidRPr="00A779DD">
        <w:rPr>
          <w:rFonts w:ascii="Arial" w:hAnsi="Arial" w:cs="Arial"/>
        </w:rPr>
        <w:t>del proyecto:</w:t>
      </w:r>
    </w:p>
    <w:p w:rsidR="007A2653" w:rsidRPr="00A779DD" w:rsidRDefault="007A2653" w:rsidP="005B4246">
      <w:pPr>
        <w:spacing w:line="480" w:lineRule="auto"/>
        <w:jc w:val="both"/>
        <w:rPr>
          <w:rFonts w:ascii="Arial" w:hAnsi="Arial" w:cs="Arial"/>
        </w:rPr>
      </w:pPr>
    </w:p>
    <w:p w:rsidR="007A2653" w:rsidRDefault="007A2653" w:rsidP="007A2653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TABLA 5.3: costos indirectos</w:t>
      </w:r>
    </w:p>
    <w:p w:rsidR="007A2653" w:rsidRDefault="007A2653" w:rsidP="007A2653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tbl>
      <w:tblPr>
        <w:tblW w:w="4640" w:type="dxa"/>
        <w:jc w:val="center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64"/>
        <w:gridCol w:w="1576"/>
      </w:tblGrid>
      <w:tr w:rsidR="00393313" w:rsidRPr="00A779DD">
        <w:trPr>
          <w:trHeight w:val="405"/>
          <w:jc w:val="center"/>
        </w:trPr>
        <w:tc>
          <w:tcPr>
            <w:tcW w:w="3064" w:type="dxa"/>
            <w:shd w:val="clear" w:color="auto" w:fill="FFCC99"/>
            <w:noWrap/>
            <w:vAlign w:val="bottom"/>
          </w:tcPr>
          <w:p w:rsidR="00393313" w:rsidRPr="00A779DD" w:rsidRDefault="00393313" w:rsidP="00393313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A779DD">
              <w:rPr>
                <w:rFonts w:ascii="Arial Black" w:hAnsi="Arial Black" w:cs="Arial"/>
                <w:b/>
                <w:bCs/>
                <w:sz w:val="20"/>
                <w:szCs w:val="20"/>
              </w:rPr>
              <w:t>Costos Indirectos</w:t>
            </w:r>
          </w:p>
        </w:tc>
        <w:tc>
          <w:tcPr>
            <w:tcW w:w="1576" w:type="dxa"/>
            <w:shd w:val="clear" w:color="auto" w:fill="FFCC99"/>
            <w:noWrap/>
            <w:vAlign w:val="bottom"/>
          </w:tcPr>
          <w:p w:rsidR="00393313" w:rsidRPr="00A779DD" w:rsidRDefault="00393313">
            <w:pPr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A779DD">
              <w:rPr>
                <w:rFonts w:ascii="Arial Black" w:hAnsi="Arial Black" w:cs="Arial"/>
                <w:b/>
                <w:bCs/>
                <w:sz w:val="20"/>
                <w:szCs w:val="20"/>
              </w:rPr>
              <w:t> </w:t>
            </w:r>
          </w:p>
        </w:tc>
      </w:tr>
      <w:tr w:rsidR="00393313" w:rsidRPr="00A779DD">
        <w:trPr>
          <w:trHeight w:val="255"/>
          <w:jc w:val="center"/>
        </w:trPr>
        <w:tc>
          <w:tcPr>
            <w:tcW w:w="3064" w:type="dxa"/>
            <w:shd w:val="clear" w:color="auto" w:fill="auto"/>
            <w:noWrap/>
            <w:vAlign w:val="bottom"/>
          </w:tcPr>
          <w:p w:rsidR="00393313" w:rsidRPr="00A779DD" w:rsidRDefault="003933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9DD">
              <w:rPr>
                <w:rFonts w:ascii="Arial" w:hAnsi="Arial" w:cs="Arial"/>
                <w:b/>
                <w:bCs/>
                <w:sz w:val="16"/>
                <w:szCs w:val="16"/>
              </w:rPr>
              <w:t>DETALLE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393313" w:rsidRPr="00A779DD" w:rsidRDefault="003933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9DD">
              <w:rPr>
                <w:rFonts w:ascii="Arial" w:hAnsi="Arial" w:cs="Arial"/>
                <w:b/>
                <w:bCs/>
                <w:sz w:val="16"/>
                <w:szCs w:val="16"/>
              </w:rPr>
              <w:t>2006</w:t>
            </w:r>
          </w:p>
        </w:tc>
      </w:tr>
      <w:tr w:rsidR="00393313" w:rsidRPr="00A779DD">
        <w:trPr>
          <w:trHeight w:val="255"/>
          <w:jc w:val="center"/>
        </w:trPr>
        <w:tc>
          <w:tcPr>
            <w:tcW w:w="3064" w:type="dxa"/>
            <w:shd w:val="clear" w:color="auto" w:fill="CCFFCC"/>
            <w:noWrap/>
            <w:vAlign w:val="bottom"/>
          </w:tcPr>
          <w:p w:rsidR="00393313" w:rsidRPr="00A779DD" w:rsidRDefault="003933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9DD">
              <w:rPr>
                <w:rFonts w:ascii="Arial" w:hAnsi="Arial" w:cs="Arial"/>
                <w:b/>
                <w:bCs/>
                <w:sz w:val="16"/>
                <w:szCs w:val="16"/>
              </w:rPr>
              <w:t>BARRIDO Y LIMPIEZA DE CALLES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393313" w:rsidRPr="00A779DD" w:rsidRDefault="003933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9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218.143,87   </w:t>
            </w:r>
          </w:p>
        </w:tc>
      </w:tr>
      <w:tr w:rsidR="00393313" w:rsidRPr="00A779DD">
        <w:trPr>
          <w:trHeight w:val="255"/>
          <w:jc w:val="center"/>
        </w:trPr>
        <w:tc>
          <w:tcPr>
            <w:tcW w:w="3064" w:type="dxa"/>
            <w:shd w:val="clear" w:color="auto" w:fill="auto"/>
            <w:noWrap/>
            <w:vAlign w:val="bottom"/>
          </w:tcPr>
          <w:p w:rsidR="00393313" w:rsidRPr="00A779DD" w:rsidRDefault="003933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9DD">
              <w:rPr>
                <w:rFonts w:ascii="Arial" w:hAnsi="Arial" w:cs="Arial"/>
                <w:b/>
                <w:bCs/>
                <w:sz w:val="16"/>
                <w:szCs w:val="16"/>
              </w:rPr>
              <w:t>Costos Directos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393313" w:rsidRPr="00A779DD" w:rsidRDefault="003933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9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436.287,73   </w:t>
            </w:r>
          </w:p>
        </w:tc>
      </w:tr>
      <w:tr w:rsidR="00393313" w:rsidRPr="00A779DD">
        <w:trPr>
          <w:trHeight w:val="255"/>
          <w:jc w:val="center"/>
        </w:trPr>
        <w:tc>
          <w:tcPr>
            <w:tcW w:w="3064" w:type="dxa"/>
            <w:shd w:val="clear" w:color="auto" w:fill="auto"/>
            <w:noWrap/>
            <w:vAlign w:val="bottom"/>
          </w:tcPr>
          <w:p w:rsidR="00393313" w:rsidRPr="00A779DD" w:rsidRDefault="00393313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ADMINISTRACIÒN (30%)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393313" w:rsidRPr="00A779DD" w:rsidRDefault="003933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 xml:space="preserve">            130.886,32   </w:t>
            </w:r>
          </w:p>
        </w:tc>
      </w:tr>
      <w:tr w:rsidR="00393313" w:rsidRPr="00A779DD">
        <w:trPr>
          <w:trHeight w:val="255"/>
          <w:jc w:val="center"/>
        </w:trPr>
        <w:tc>
          <w:tcPr>
            <w:tcW w:w="3064" w:type="dxa"/>
            <w:shd w:val="clear" w:color="auto" w:fill="auto"/>
            <w:noWrap/>
            <w:vAlign w:val="bottom"/>
          </w:tcPr>
          <w:p w:rsidR="00393313" w:rsidRPr="00A779DD" w:rsidRDefault="00393313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IMPREVISTOS (20%)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393313" w:rsidRPr="00A779DD" w:rsidRDefault="003933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 xml:space="preserve">              87.257,55   </w:t>
            </w:r>
          </w:p>
        </w:tc>
      </w:tr>
      <w:tr w:rsidR="00393313" w:rsidRPr="00A779DD">
        <w:trPr>
          <w:trHeight w:val="255"/>
          <w:jc w:val="center"/>
        </w:trPr>
        <w:tc>
          <w:tcPr>
            <w:tcW w:w="3064" w:type="dxa"/>
            <w:shd w:val="clear" w:color="auto" w:fill="CCFFCC"/>
            <w:noWrap/>
            <w:vAlign w:val="bottom"/>
          </w:tcPr>
          <w:p w:rsidR="00393313" w:rsidRPr="00A779DD" w:rsidRDefault="003933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9DD">
              <w:rPr>
                <w:rFonts w:ascii="Arial" w:hAnsi="Arial" w:cs="Arial"/>
                <w:b/>
                <w:bCs/>
                <w:sz w:val="16"/>
                <w:szCs w:val="16"/>
              </w:rPr>
              <w:t>RECOLECCIÓN BARRIDO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393313" w:rsidRPr="00A779DD" w:rsidRDefault="003933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9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37.725,28   </w:t>
            </w:r>
          </w:p>
        </w:tc>
      </w:tr>
      <w:tr w:rsidR="00393313" w:rsidRPr="00A779DD">
        <w:trPr>
          <w:trHeight w:val="255"/>
          <w:jc w:val="center"/>
        </w:trPr>
        <w:tc>
          <w:tcPr>
            <w:tcW w:w="3064" w:type="dxa"/>
            <w:shd w:val="clear" w:color="auto" w:fill="auto"/>
            <w:noWrap/>
            <w:vAlign w:val="bottom"/>
          </w:tcPr>
          <w:p w:rsidR="00393313" w:rsidRPr="00A779DD" w:rsidRDefault="003933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9DD">
              <w:rPr>
                <w:rFonts w:ascii="Arial" w:hAnsi="Arial" w:cs="Arial"/>
                <w:b/>
                <w:bCs/>
                <w:sz w:val="16"/>
                <w:szCs w:val="16"/>
              </w:rPr>
              <w:t>Costos Directos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393313" w:rsidRPr="00A779DD" w:rsidRDefault="003933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9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75.450,57   </w:t>
            </w:r>
          </w:p>
        </w:tc>
      </w:tr>
      <w:tr w:rsidR="00393313" w:rsidRPr="00A779DD">
        <w:trPr>
          <w:trHeight w:val="255"/>
          <w:jc w:val="center"/>
        </w:trPr>
        <w:tc>
          <w:tcPr>
            <w:tcW w:w="3064" w:type="dxa"/>
            <w:shd w:val="clear" w:color="auto" w:fill="auto"/>
            <w:noWrap/>
            <w:vAlign w:val="bottom"/>
          </w:tcPr>
          <w:p w:rsidR="00393313" w:rsidRPr="00A779DD" w:rsidRDefault="00393313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ADMINISTRACIÒN (30%)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393313" w:rsidRPr="00A779DD" w:rsidRDefault="003933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 xml:space="preserve">              22.635,17   </w:t>
            </w:r>
          </w:p>
        </w:tc>
      </w:tr>
      <w:tr w:rsidR="00393313" w:rsidRPr="00A779DD">
        <w:trPr>
          <w:trHeight w:val="255"/>
          <w:jc w:val="center"/>
        </w:trPr>
        <w:tc>
          <w:tcPr>
            <w:tcW w:w="3064" w:type="dxa"/>
            <w:shd w:val="clear" w:color="auto" w:fill="auto"/>
            <w:noWrap/>
            <w:vAlign w:val="bottom"/>
          </w:tcPr>
          <w:p w:rsidR="00393313" w:rsidRPr="00A779DD" w:rsidRDefault="00393313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IMPREVISTOS (20%)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393313" w:rsidRPr="00A779DD" w:rsidRDefault="003933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 xml:space="preserve">              15.090,11   </w:t>
            </w:r>
          </w:p>
        </w:tc>
      </w:tr>
      <w:tr w:rsidR="00393313" w:rsidRPr="00A779DD">
        <w:trPr>
          <w:trHeight w:val="255"/>
          <w:jc w:val="center"/>
        </w:trPr>
        <w:tc>
          <w:tcPr>
            <w:tcW w:w="3064" w:type="dxa"/>
            <w:shd w:val="clear" w:color="auto" w:fill="CCFFCC"/>
            <w:noWrap/>
            <w:vAlign w:val="bottom"/>
          </w:tcPr>
          <w:p w:rsidR="00393313" w:rsidRPr="00A779DD" w:rsidRDefault="003933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9DD">
              <w:rPr>
                <w:rFonts w:ascii="Arial" w:hAnsi="Arial" w:cs="Arial"/>
                <w:b/>
                <w:bCs/>
                <w:sz w:val="16"/>
                <w:szCs w:val="16"/>
              </w:rPr>
              <w:t>RECOLECCIÓN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393313" w:rsidRPr="00A779DD" w:rsidRDefault="003933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9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291.591,28   </w:t>
            </w:r>
          </w:p>
        </w:tc>
      </w:tr>
      <w:tr w:rsidR="00393313" w:rsidRPr="00A779DD">
        <w:trPr>
          <w:trHeight w:val="255"/>
          <w:jc w:val="center"/>
        </w:trPr>
        <w:tc>
          <w:tcPr>
            <w:tcW w:w="3064" w:type="dxa"/>
            <w:shd w:val="clear" w:color="auto" w:fill="auto"/>
            <w:noWrap/>
            <w:vAlign w:val="bottom"/>
          </w:tcPr>
          <w:p w:rsidR="00393313" w:rsidRPr="00A779DD" w:rsidRDefault="003933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9DD">
              <w:rPr>
                <w:rFonts w:ascii="Arial" w:hAnsi="Arial" w:cs="Arial"/>
                <w:b/>
                <w:bCs/>
                <w:sz w:val="16"/>
                <w:szCs w:val="16"/>
              </w:rPr>
              <w:t>Costos Directos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393313" w:rsidRPr="00A779DD" w:rsidRDefault="003933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9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583.182,57   </w:t>
            </w:r>
          </w:p>
        </w:tc>
      </w:tr>
      <w:tr w:rsidR="00393313" w:rsidRPr="00A779DD">
        <w:trPr>
          <w:trHeight w:val="255"/>
          <w:jc w:val="center"/>
        </w:trPr>
        <w:tc>
          <w:tcPr>
            <w:tcW w:w="3064" w:type="dxa"/>
            <w:shd w:val="clear" w:color="auto" w:fill="auto"/>
            <w:noWrap/>
            <w:vAlign w:val="bottom"/>
          </w:tcPr>
          <w:p w:rsidR="00393313" w:rsidRPr="00A779DD" w:rsidRDefault="00393313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ADMINISTRACIÒN (30%)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393313" w:rsidRPr="00A779DD" w:rsidRDefault="003933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 xml:space="preserve">            174.954,77   </w:t>
            </w:r>
          </w:p>
        </w:tc>
      </w:tr>
      <w:tr w:rsidR="00393313" w:rsidRPr="00A779DD">
        <w:trPr>
          <w:trHeight w:val="255"/>
          <w:jc w:val="center"/>
        </w:trPr>
        <w:tc>
          <w:tcPr>
            <w:tcW w:w="3064" w:type="dxa"/>
            <w:shd w:val="clear" w:color="auto" w:fill="auto"/>
            <w:noWrap/>
            <w:vAlign w:val="bottom"/>
          </w:tcPr>
          <w:p w:rsidR="00393313" w:rsidRPr="00A779DD" w:rsidRDefault="00393313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IMPREVISTOS (20%)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393313" w:rsidRPr="00A779DD" w:rsidRDefault="003933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 xml:space="preserve">            116.636,51   </w:t>
            </w:r>
          </w:p>
        </w:tc>
      </w:tr>
      <w:tr w:rsidR="00393313" w:rsidRPr="00A779DD">
        <w:trPr>
          <w:trHeight w:val="255"/>
          <w:jc w:val="center"/>
        </w:trPr>
        <w:tc>
          <w:tcPr>
            <w:tcW w:w="3064" w:type="dxa"/>
            <w:shd w:val="clear" w:color="auto" w:fill="CCFFCC"/>
            <w:noWrap/>
            <w:vAlign w:val="bottom"/>
          </w:tcPr>
          <w:p w:rsidR="00393313" w:rsidRPr="00A779DD" w:rsidRDefault="003933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9DD">
              <w:rPr>
                <w:rFonts w:ascii="Arial" w:hAnsi="Arial" w:cs="Arial"/>
                <w:b/>
                <w:bCs/>
                <w:sz w:val="16"/>
                <w:szCs w:val="16"/>
              </w:rPr>
              <w:t>DISPOSICIÓN FINAL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393313" w:rsidRPr="00A779DD" w:rsidRDefault="003933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9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33.177,35   </w:t>
            </w:r>
          </w:p>
        </w:tc>
      </w:tr>
      <w:tr w:rsidR="00393313" w:rsidRPr="00A779DD">
        <w:trPr>
          <w:trHeight w:val="255"/>
          <w:jc w:val="center"/>
        </w:trPr>
        <w:tc>
          <w:tcPr>
            <w:tcW w:w="3064" w:type="dxa"/>
            <w:shd w:val="clear" w:color="auto" w:fill="auto"/>
            <w:noWrap/>
            <w:vAlign w:val="bottom"/>
          </w:tcPr>
          <w:p w:rsidR="00393313" w:rsidRPr="00A779DD" w:rsidRDefault="003933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9DD">
              <w:rPr>
                <w:rFonts w:ascii="Arial" w:hAnsi="Arial" w:cs="Arial"/>
                <w:b/>
                <w:bCs/>
                <w:sz w:val="16"/>
                <w:szCs w:val="16"/>
              </w:rPr>
              <w:t>Costos Directos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393313" w:rsidRPr="00A779DD" w:rsidRDefault="003933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9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66.354,71   </w:t>
            </w:r>
          </w:p>
        </w:tc>
      </w:tr>
      <w:tr w:rsidR="00393313" w:rsidRPr="00A779DD">
        <w:trPr>
          <w:trHeight w:val="255"/>
          <w:jc w:val="center"/>
        </w:trPr>
        <w:tc>
          <w:tcPr>
            <w:tcW w:w="3064" w:type="dxa"/>
            <w:shd w:val="clear" w:color="auto" w:fill="auto"/>
            <w:noWrap/>
            <w:vAlign w:val="bottom"/>
          </w:tcPr>
          <w:p w:rsidR="00393313" w:rsidRPr="00A779DD" w:rsidRDefault="00393313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ADMINISTRACIÒN (30%)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393313" w:rsidRPr="00A779DD" w:rsidRDefault="003933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 xml:space="preserve">              19.906,41   </w:t>
            </w:r>
          </w:p>
        </w:tc>
      </w:tr>
      <w:tr w:rsidR="00393313" w:rsidRPr="00A779DD">
        <w:trPr>
          <w:trHeight w:val="255"/>
          <w:jc w:val="center"/>
        </w:trPr>
        <w:tc>
          <w:tcPr>
            <w:tcW w:w="3064" w:type="dxa"/>
            <w:shd w:val="clear" w:color="auto" w:fill="auto"/>
            <w:noWrap/>
            <w:vAlign w:val="bottom"/>
          </w:tcPr>
          <w:p w:rsidR="00393313" w:rsidRPr="00A779DD" w:rsidRDefault="00393313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IMPREVISTOS (20%)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393313" w:rsidRPr="00A779DD" w:rsidRDefault="003933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 xml:space="preserve">              13.270,94   </w:t>
            </w:r>
          </w:p>
        </w:tc>
      </w:tr>
      <w:tr w:rsidR="00393313" w:rsidRPr="00A779DD">
        <w:trPr>
          <w:trHeight w:val="285"/>
          <w:jc w:val="center"/>
        </w:trPr>
        <w:tc>
          <w:tcPr>
            <w:tcW w:w="3064" w:type="dxa"/>
            <w:shd w:val="clear" w:color="auto" w:fill="FFCC99"/>
            <w:noWrap/>
            <w:vAlign w:val="bottom"/>
          </w:tcPr>
          <w:p w:rsidR="00393313" w:rsidRPr="00A779DD" w:rsidRDefault="00393313">
            <w:pPr>
              <w:rPr>
                <w:rFonts w:ascii="Arial Black" w:hAnsi="Arial Black" w:cs="Arial"/>
                <w:b/>
                <w:bCs/>
                <w:sz w:val="16"/>
                <w:szCs w:val="16"/>
              </w:rPr>
            </w:pPr>
            <w:r w:rsidRPr="00A779DD">
              <w:rPr>
                <w:rFonts w:ascii="Arial Black" w:hAnsi="Arial Black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576" w:type="dxa"/>
            <w:shd w:val="clear" w:color="auto" w:fill="FFCC99"/>
            <w:noWrap/>
            <w:vAlign w:val="bottom"/>
          </w:tcPr>
          <w:p w:rsidR="00393313" w:rsidRPr="00A779DD" w:rsidRDefault="00393313">
            <w:pPr>
              <w:jc w:val="center"/>
              <w:rPr>
                <w:rFonts w:ascii="Arial Black" w:hAnsi="Arial Black" w:cs="Arial"/>
                <w:b/>
                <w:bCs/>
                <w:sz w:val="16"/>
                <w:szCs w:val="16"/>
              </w:rPr>
            </w:pPr>
            <w:r w:rsidRPr="00A779DD">
              <w:rPr>
                <w:rFonts w:ascii="Arial Black" w:hAnsi="Arial Black" w:cs="Arial"/>
                <w:b/>
                <w:bCs/>
                <w:sz w:val="16"/>
                <w:szCs w:val="16"/>
              </w:rPr>
              <w:t xml:space="preserve">  580.637,79   </w:t>
            </w:r>
          </w:p>
        </w:tc>
      </w:tr>
    </w:tbl>
    <w:p w:rsidR="00393313" w:rsidRPr="007A2653" w:rsidRDefault="00393313" w:rsidP="007A2653">
      <w:pPr>
        <w:jc w:val="center"/>
        <w:rPr>
          <w:rFonts w:ascii="Arial" w:hAnsi="Arial" w:cs="Arial"/>
          <w:b/>
          <w:sz w:val="16"/>
          <w:szCs w:val="16"/>
        </w:rPr>
      </w:pPr>
    </w:p>
    <w:p w:rsidR="005051F7" w:rsidRPr="007A2653" w:rsidRDefault="007A2653" w:rsidP="007A2653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Elaborado por los autora</w:t>
      </w:r>
      <w:r w:rsidRPr="007A2653">
        <w:rPr>
          <w:rFonts w:ascii="Arial" w:hAnsi="Arial" w:cs="Arial"/>
          <w:b/>
          <w:sz w:val="16"/>
          <w:szCs w:val="16"/>
        </w:rPr>
        <w:t>s</w:t>
      </w:r>
    </w:p>
    <w:p w:rsidR="005051F7" w:rsidRPr="00A779DD" w:rsidRDefault="005051F7" w:rsidP="005051F7">
      <w:pPr>
        <w:jc w:val="center"/>
        <w:rPr>
          <w:rFonts w:ascii="Arial" w:hAnsi="Arial" w:cs="Arial"/>
        </w:rPr>
      </w:pPr>
    </w:p>
    <w:p w:rsidR="005051F7" w:rsidRPr="00A779DD" w:rsidRDefault="005051F7" w:rsidP="00356A55">
      <w:pPr>
        <w:jc w:val="both"/>
        <w:rPr>
          <w:rFonts w:ascii="Arial" w:hAnsi="Arial" w:cs="Arial"/>
        </w:rPr>
      </w:pPr>
    </w:p>
    <w:p w:rsidR="00356A55" w:rsidRPr="00A779DD" w:rsidRDefault="00356A55" w:rsidP="00356A55">
      <w:pPr>
        <w:jc w:val="both"/>
        <w:rPr>
          <w:rFonts w:ascii="Arial" w:hAnsi="Arial" w:cs="Arial"/>
        </w:rPr>
      </w:pPr>
    </w:p>
    <w:p w:rsidR="00F62682" w:rsidRPr="00A779DD" w:rsidRDefault="00F62682" w:rsidP="00EF014E">
      <w:pPr>
        <w:jc w:val="both"/>
        <w:rPr>
          <w:rFonts w:ascii="Arial" w:hAnsi="Arial" w:cs="Arial"/>
        </w:rPr>
      </w:pPr>
    </w:p>
    <w:p w:rsidR="000D66C6" w:rsidRPr="00A779DD" w:rsidRDefault="000D66C6" w:rsidP="00EF014E">
      <w:pPr>
        <w:jc w:val="both"/>
        <w:rPr>
          <w:rFonts w:ascii="Arial" w:hAnsi="Arial" w:cs="Arial"/>
          <w:b/>
          <w:sz w:val="28"/>
          <w:szCs w:val="28"/>
        </w:rPr>
      </w:pPr>
    </w:p>
    <w:p w:rsidR="005B4246" w:rsidRPr="00A779DD" w:rsidRDefault="005B4246" w:rsidP="00EF014E">
      <w:pPr>
        <w:jc w:val="both"/>
        <w:rPr>
          <w:rFonts w:ascii="Arial" w:hAnsi="Arial" w:cs="Arial"/>
          <w:b/>
          <w:sz w:val="28"/>
          <w:szCs w:val="28"/>
        </w:rPr>
      </w:pPr>
    </w:p>
    <w:p w:rsidR="00393313" w:rsidRPr="00A779DD" w:rsidRDefault="00393313" w:rsidP="00EF014E">
      <w:pPr>
        <w:jc w:val="both"/>
        <w:rPr>
          <w:rFonts w:ascii="Arial" w:hAnsi="Arial" w:cs="Arial"/>
          <w:b/>
          <w:sz w:val="28"/>
          <w:szCs w:val="28"/>
        </w:rPr>
      </w:pPr>
    </w:p>
    <w:p w:rsidR="00393313" w:rsidRPr="00A779DD" w:rsidRDefault="00393313" w:rsidP="00EF014E">
      <w:pPr>
        <w:jc w:val="both"/>
        <w:rPr>
          <w:rFonts w:ascii="Arial" w:hAnsi="Arial" w:cs="Arial"/>
          <w:b/>
          <w:sz w:val="28"/>
          <w:szCs w:val="28"/>
        </w:rPr>
      </w:pPr>
    </w:p>
    <w:p w:rsidR="00393313" w:rsidRPr="00A779DD" w:rsidRDefault="00393313" w:rsidP="00EF014E">
      <w:pPr>
        <w:jc w:val="both"/>
        <w:rPr>
          <w:rFonts w:ascii="Arial" w:hAnsi="Arial" w:cs="Arial"/>
          <w:b/>
          <w:sz w:val="28"/>
          <w:szCs w:val="28"/>
        </w:rPr>
      </w:pPr>
    </w:p>
    <w:p w:rsidR="00393313" w:rsidRPr="00A779DD" w:rsidRDefault="00393313" w:rsidP="00EF014E">
      <w:pPr>
        <w:jc w:val="both"/>
        <w:rPr>
          <w:rFonts w:ascii="Arial" w:hAnsi="Arial" w:cs="Arial"/>
          <w:b/>
          <w:sz w:val="28"/>
          <w:szCs w:val="28"/>
        </w:rPr>
      </w:pPr>
    </w:p>
    <w:p w:rsidR="00F62682" w:rsidRPr="00A779DD" w:rsidRDefault="00F62682" w:rsidP="00EF014E">
      <w:pPr>
        <w:jc w:val="both"/>
        <w:rPr>
          <w:rFonts w:ascii="Arial" w:hAnsi="Arial" w:cs="Arial"/>
          <w:b/>
          <w:sz w:val="28"/>
          <w:szCs w:val="28"/>
        </w:rPr>
      </w:pPr>
      <w:r w:rsidRPr="00A779DD">
        <w:rPr>
          <w:rFonts w:ascii="Arial" w:hAnsi="Arial" w:cs="Arial"/>
          <w:b/>
          <w:sz w:val="28"/>
          <w:szCs w:val="28"/>
        </w:rPr>
        <w:t>5.3</w:t>
      </w:r>
      <w:r w:rsidRPr="00A779DD">
        <w:rPr>
          <w:rFonts w:ascii="Arial" w:hAnsi="Arial" w:cs="Arial"/>
          <w:b/>
          <w:sz w:val="28"/>
          <w:szCs w:val="28"/>
        </w:rPr>
        <w:tab/>
        <w:t>INGRESOS Y UTILIDADES DEL PROYECTO</w:t>
      </w:r>
    </w:p>
    <w:p w:rsidR="00F62682" w:rsidRPr="00A779DD" w:rsidRDefault="00F62682" w:rsidP="00EF014E">
      <w:pPr>
        <w:jc w:val="both"/>
        <w:rPr>
          <w:rFonts w:ascii="Arial" w:hAnsi="Arial" w:cs="Arial"/>
        </w:rPr>
      </w:pPr>
    </w:p>
    <w:p w:rsidR="005B4246" w:rsidRPr="00A779DD" w:rsidRDefault="005B4246" w:rsidP="005B4246">
      <w:pPr>
        <w:spacing w:line="480" w:lineRule="auto"/>
        <w:jc w:val="both"/>
        <w:rPr>
          <w:rFonts w:ascii="Arial" w:hAnsi="Arial" w:cs="Arial"/>
        </w:rPr>
      </w:pPr>
    </w:p>
    <w:p w:rsidR="00356A55" w:rsidRPr="00A779DD" w:rsidRDefault="004D0FF1" w:rsidP="005B4246">
      <w:pPr>
        <w:spacing w:line="480" w:lineRule="auto"/>
        <w:jc w:val="both"/>
        <w:rPr>
          <w:rFonts w:ascii="Arial" w:hAnsi="Arial" w:cs="Arial"/>
        </w:rPr>
      </w:pPr>
      <w:r w:rsidRPr="00A779DD">
        <w:rPr>
          <w:rFonts w:ascii="Arial" w:hAnsi="Arial" w:cs="Arial"/>
        </w:rPr>
        <w:t>Los ingresos provenientes del pro</w:t>
      </w:r>
      <w:r w:rsidR="00292110" w:rsidRPr="00A779DD">
        <w:rPr>
          <w:rFonts w:ascii="Arial" w:hAnsi="Arial" w:cs="Arial"/>
        </w:rPr>
        <w:t>yecto</w:t>
      </w:r>
      <w:r w:rsidRPr="00A779DD">
        <w:rPr>
          <w:rFonts w:ascii="Arial" w:hAnsi="Arial" w:cs="Arial"/>
        </w:rPr>
        <w:t xml:space="preserve"> serán únicamente obtenidos mediante l</w:t>
      </w:r>
      <w:r w:rsidR="00E75B9A" w:rsidRPr="00A779DD">
        <w:rPr>
          <w:rFonts w:ascii="Arial" w:hAnsi="Arial" w:cs="Arial"/>
        </w:rPr>
        <w:t xml:space="preserve">a Tasa de Recolección de Basura, </w:t>
      </w:r>
      <w:r w:rsidRPr="00A779DD">
        <w:rPr>
          <w:rFonts w:ascii="Arial" w:hAnsi="Arial" w:cs="Arial"/>
        </w:rPr>
        <w:t xml:space="preserve"> para la cual se ha aplicado el método utilizado por la Empresa Municipal de Aseo de Cuenca (EMAC), adaptándolo a los cantones de Machala, Pasaje y El Guabo</w:t>
      </w:r>
      <w:r w:rsidR="00E75B9A" w:rsidRPr="00A779DD">
        <w:rPr>
          <w:rFonts w:ascii="Arial" w:hAnsi="Arial" w:cs="Arial"/>
        </w:rPr>
        <w:t>,</w:t>
      </w:r>
      <w:r w:rsidRPr="00A779DD">
        <w:rPr>
          <w:rFonts w:ascii="Arial" w:hAnsi="Arial" w:cs="Arial"/>
        </w:rPr>
        <w:t xml:space="preserve">  el que se lo detalla a continuación.</w:t>
      </w:r>
    </w:p>
    <w:p w:rsidR="000C1D87" w:rsidRPr="00A779DD" w:rsidRDefault="000C1D87" w:rsidP="00EF014E">
      <w:pPr>
        <w:jc w:val="both"/>
        <w:rPr>
          <w:rFonts w:ascii="Arial" w:hAnsi="Arial" w:cs="Arial"/>
        </w:rPr>
      </w:pPr>
    </w:p>
    <w:p w:rsidR="000C1D87" w:rsidRPr="00A779DD" w:rsidRDefault="000C1D87" w:rsidP="00EF014E">
      <w:pPr>
        <w:jc w:val="both"/>
        <w:rPr>
          <w:rFonts w:ascii="Arial" w:hAnsi="Arial" w:cs="Arial"/>
          <w:b/>
        </w:rPr>
      </w:pPr>
    </w:p>
    <w:p w:rsidR="00356A55" w:rsidRPr="00A779DD" w:rsidRDefault="000C1D87" w:rsidP="00EF014E">
      <w:pPr>
        <w:jc w:val="both"/>
        <w:rPr>
          <w:rFonts w:ascii="Arial" w:hAnsi="Arial" w:cs="Arial"/>
          <w:b/>
          <w:u w:val="single"/>
        </w:rPr>
      </w:pPr>
      <w:r w:rsidRPr="00A779DD">
        <w:rPr>
          <w:rFonts w:ascii="Arial" w:hAnsi="Arial" w:cs="Arial"/>
          <w:b/>
          <w:u w:val="single"/>
        </w:rPr>
        <w:t>Base del Cálculo</w:t>
      </w:r>
    </w:p>
    <w:p w:rsidR="005B4246" w:rsidRPr="00A779DD" w:rsidRDefault="005B4246" w:rsidP="00EF014E">
      <w:pPr>
        <w:jc w:val="both"/>
        <w:rPr>
          <w:rFonts w:ascii="Arial" w:hAnsi="Arial" w:cs="Arial"/>
          <w:b/>
          <w:u w:val="single"/>
        </w:rPr>
      </w:pPr>
    </w:p>
    <w:p w:rsidR="000C1D87" w:rsidRPr="00A779DD" w:rsidRDefault="000C1D87" w:rsidP="000C1D87">
      <w:pPr>
        <w:jc w:val="both"/>
        <w:rPr>
          <w:rFonts w:ascii="Arial" w:hAnsi="Arial" w:cs="Arial"/>
        </w:rPr>
      </w:pPr>
    </w:p>
    <w:tbl>
      <w:tblPr>
        <w:tblW w:w="494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941"/>
      </w:tblGrid>
      <w:tr w:rsidR="00292110" w:rsidRPr="00A779DD">
        <w:trPr>
          <w:trHeight w:val="255"/>
        </w:trPr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110" w:rsidRPr="00A779DD" w:rsidRDefault="002921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2110" w:rsidRPr="00A779DD">
        <w:trPr>
          <w:trHeight w:val="255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110" w:rsidRPr="00A779DD" w:rsidRDefault="002921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9DD">
              <w:rPr>
                <w:rFonts w:ascii="Arial" w:hAnsi="Arial" w:cs="Arial"/>
                <w:b/>
                <w:bCs/>
                <w:sz w:val="16"/>
                <w:szCs w:val="16"/>
              </w:rPr>
              <w:t>Presupuesto Operativo ($)</w:t>
            </w:r>
          </w:p>
        </w:tc>
      </w:tr>
      <w:tr w:rsidR="00292110" w:rsidRPr="00A779DD">
        <w:trPr>
          <w:trHeight w:val="225"/>
        </w:trPr>
        <w:tc>
          <w:tcPr>
            <w:tcW w:w="4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110" w:rsidRPr="00A779DD" w:rsidRDefault="00292110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Nº. Toneladas Manejadas por día</w:t>
            </w:r>
          </w:p>
        </w:tc>
      </w:tr>
      <w:tr w:rsidR="00292110" w:rsidRPr="00A779DD">
        <w:trPr>
          <w:trHeight w:val="255"/>
        </w:trPr>
        <w:tc>
          <w:tcPr>
            <w:tcW w:w="4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110" w:rsidRPr="00A779DD" w:rsidRDefault="00292110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No. Toneladas manejadas por año (ton)</w:t>
            </w:r>
          </w:p>
        </w:tc>
      </w:tr>
      <w:tr w:rsidR="00292110" w:rsidRPr="00A779DD">
        <w:trPr>
          <w:trHeight w:val="255"/>
        </w:trPr>
        <w:tc>
          <w:tcPr>
            <w:tcW w:w="4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92110" w:rsidRPr="00A779DD" w:rsidRDefault="002921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79DD">
              <w:rPr>
                <w:rFonts w:ascii="Arial" w:hAnsi="Arial" w:cs="Arial"/>
                <w:b/>
                <w:bCs/>
                <w:sz w:val="18"/>
                <w:szCs w:val="18"/>
              </w:rPr>
              <w:t>Cálculo del Costo Operativo Unitario (COU)   $/ton/año</w:t>
            </w:r>
          </w:p>
        </w:tc>
      </w:tr>
      <w:tr w:rsidR="00292110" w:rsidRPr="00A779DD">
        <w:trPr>
          <w:trHeight w:val="255"/>
        </w:trPr>
        <w:tc>
          <w:tcPr>
            <w:tcW w:w="4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92110" w:rsidRPr="00A779DD" w:rsidRDefault="002921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79DD">
              <w:rPr>
                <w:rFonts w:ascii="Arial" w:hAnsi="Arial" w:cs="Arial"/>
                <w:b/>
                <w:bCs/>
                <w:sz w:val="18"/>
                <w:szCs w:val="18"/>
              </w:rPr>
              <w:t>Cálculo del Costo Operativo Unitario (COU)   $/ton/mes</w:t>
            </w:r>
          </w:p>
        </w:tc>
      </w:tr>
    </w:tbl>
    <w:p w:rsidR="000C1D87" w:rsidRPr="00A779DD" w:rsidRDefault="000C1D87" w:rsidP="00EF014E">
      <w:pPr>
        <w:jc w:val="both"/>
        <w:rPr>
          <w:rFonts w:ascii="Arial" w:hAnsi="Arial" w:cs="Arial"/>
        </w:rPr>
      </w:pPr>
    </w:p>
    <w:p w:rsidR="000C1D87" w:rsidRPr="00A779DD" w:rsidRDefault="000C1D87" w:rsidP="00EF014E">
      <w:pPr>
        <w:jc w:val="both"/>
        <w:rPr>
          <w:rFonts w:ascii="Arial" w:hAnsi="Arial" w:cs="Arial"/>
          <w:b/>
        </w:rPr>
      </w:pPr>
    </w:p>
    <w:p w:rsidR="005B4246" w:rsidRPr="00A779DD" w:rsidRDefault="005B4246" w:rsidP="00EF014E">
      <w:pPr>
        <w:jc w:val="both"/>
        <w:rPr>
          <w:rFonts w:ascii="Arial" w:hAnsi="Arial" w:cs="Arial"/>
          <w:b/>
        </w:rPr>
      </w:pPr>
    </w:p>
    <w:p w:rsidR="000C1D87" w:rsidRPr="00A779DD" w:rsidRDefault="000C1D87" w:rsidP="00EF014E">
      <w:pPr>
        <w:jc w:val="both"/>
        <w:rPr>
          <w:rFonts w:ascii="Arial" w:hAnsi="Arial" w:cs="Arial"/>
          <w:b/>
          <w:u w:val="single"/>
        </w:rPr>
      </w:pPr>
      <w:r w:rsidRPr="00A779DD">
        <w:rPr>
          <w:rFonts w:ascii="Arial" w:hAnsi="Arial" w:cs="Arial"/>
          <w:b/>
          <w:u w:val="single"/>
        </w:rPr>
        <w:t>Distribución de los Contribuyentes</w:t>
      </w:r>
    </w:p>
    <w:p w:rsidR="000C1D87" w:rsidRPr="00A779DD" w:rsidRDefault="000C1D87" w:rsidP="000C1D87">
      <w:pPr>
        <w:jc w:val="both"/>
        <w:rPr>
          <w:rFonts w:ascii="Arial" w:hAnsi="Arial" w:cs="Arial"/>
        </w:rPr>
      </w:pPr>
    </w:p>
    <w:p w:rsidR="005B4246" w:rsidRPr="00A779DD" w:rsidRDefault="005B4246" w:rsidP="005B4246">
      <w:pPr>
        <w:spacing w:line="480" w:lineRule="auto"/>
        <w:jc w:val="both"/>
        <w:rPr>
          <w:rFonts w:ascii="Arial" w:hAnsi="Arial" w:cs="Arial"/>
        </w:rPr>
      </w:pPr>
    </w:p>
    <w:p w:rsidR="000C1D87" w:rsidRDefault="000C1D87" w:rsidP="005B4246">
      <w:pPr>
        <w:spacing w:line="480" w:lineRule="auto"/>
        <w:jc w:val="both"/>
        <w:rPr>
          <w:rFonts w:ascii="Arial" w:hAnsi="Arial" w:cs="Arial"/>
        </w:rPr>
      </w:pPr>
      <w:r w:rsidRPr="00A779DD">
        <w:rPr>
          <w:rFonts w:ascii="Arial" w:hAnsi="Arial" w:cs="Arial"/>
        </w:rPr>
        <w:t xml:space="preserve">Considerando que existen distintos clases de </w:t>
      </w:r>
      <w:r w:rsidR="00E33540" w:rsidRPr="00A779DD">
        <w:rPr>
          <w:rFonts w:ascii="Arial" w:hAnsi="Arial" w:cs="Arial"/>
        </w:rPr>
        <w:t>genera</w:t>
      </w:r>
      <w:r w:rsidRPr="00A779DD">
        <w:rPr>
          <w:rFonts w:ascii="Arial" w:hAnsi="Arial" w:cs="Arial"/>
        </w:rPr>
        <w:t xml:space="preserve">dores </w:t>
      </w:r>
      <w:r w:rsidR="00E33540" w:rsidRPr="00A779DD">
        <w:rPr>
          <w:rFonts w:ascii="Arial" w:hAnsi="Arial" w:cs="Arial"/>
        </w:rPr>
        <w:t>en base a que  no todos los contribuyentes generan la misma cantidad y tipo de desechos</w:t>
      </w:r>
      <w:r w:rsidR="00221F0E" w:rsidRPr="00A779DD">
        <w:rPr>
          <w:rFonts w:ascii="Arial" w:hAnsi="Arial" w:cs="Arial"/>
        </w:rPr>
        <w:t>,</w:t>
      </w:r>
      <w:r w:rsidR="00E33540" w:rsidRPr="00A779DD">
        <w:rPr>
          <w:rFonts w:ascii="Arial" w:hAnsi="Arial" w:cs="Arial"/>
        </w:rPr>
        <w:t xml:space="preserve"> </w:t>
      </w:r>
      <w:r w:rsidRPr="00A779DD">
        <w:rPr>
          <w:rFonts w:ascii="Arial" w:hAnsi="Arial" w:cs="Arial"/>
        </w:rPr>
        <w:t xml:space="preserve">se </w:t>
      </w:r>
      <w:r w:rsidR="00E33540" w:rsidRPr="00A779DD">
        <w:rPr>
          <w:rFonts w:ascii="Arial" w:hAnsi="Arial" w:cs="Arial"/>
        </w:rPr>
        <w:t xml:space="preserve">procedió a </w:t>
      </w:r>
      <w:r w:rsidRPr="00A779DD">
        <w:rPr>
          <w:rFonts w:ascii="Arial" w:hAnsi="Arial" w:cs="Arial"/>
        </w:rPr>
        <w:t>dividi</w:t>
      </w:r>
      <w:r w:rsidR="00E33540" w:rsidRPr="00A779DD">
        <w:rPr>
          <w:rFonts w:ascii="Arial" w:hAnsi="Arial" w:cs="Arial"/>
        </w:rPr>
        <w:t xml:space="preserve">rlos </w:t>
      </w:r>
      <w:r w:rsidRPr="00A779DD">
        <w:rPr>
          <w:rFonts w:ascii="Arial" w:hAnsi="Arial" w:cs="Arial"/>
        </w:rPr>
        <w:t xml:space="preserve"> en tres  categor</w:t>
      </w:r>
      <w:r w:rsidR="00E33540" w:rsidRPr="00A779DD">
        <w:rPr>
          <w:rFonts w:ascii="Arial" w:hAnsi="Arial" w:cs="Arial"/>
        </w:rPr>
        <w:t xml:space="preserve">ías: Generadores Comunes, Generadores Especiales y Generadores de Desechos Peligrosos detallados a continuación: </w:t>
      </w:r>
    </w:p>
    <w:p w:rsidR="007A2653" w:rsidRDefault="007A2653" w:rsidP="005B4246">
      <w:pPr>
        <w:spacing w:line="480" w:lineRule="auto"/>
        <w:jc w:val="both"/>
        <w:rPr>
          <w:rFonts w:ascii="Arial" w:hAnsi="Arial" w:cs="Arial"/>
        </w:rPr>
      </w:pPr>
    </w:p>
    <w:p w:rsidR="00A31420" w:rsidRPr="00A779DD" w:rsidRDefault="00A31420" w:rsidP="005B4246">
      <w:pPr>
        <w:spacing w:line="480" w:lineRule="auto"/>
        <w:jc w:val="both"/>
        <w:rPr>
          <w:rFonts w:ascii="Arial" w:hAnsi="Arial" w:cs="Arial"/>
        </w:rPr>
      </w:pPr>
    </w:p>
    <w:tbl>
      <w:tblPr>
        <w:tblW w:w="3592" w:type="dxa"/>
        <w:jc w:val="center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92"/>
      </w:tblGrid>
      <w:tr w:rsidR="009D0F13" w:rsidRPr="00A779DD">
        <w:trPr>
          <w:trHeight w:val="255"/>
          <w:jc w:val="center"/>
        </w:trPr>
        <w:tc>
          <w:tcPr>
            <w:tcW w:w="3592" w:type="dxa"/>
            <w:shd w:val="clear" w:color="auto" w:fill="FFCC99"/>
            <w:noWrap/>
            <w:vAlign w:val="bottom"/>
          </w:tcPr>
          <w:p w:rsidR="009D0F13" w:rsidRPr="00A779DD" w:rsidRDefault="009D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A779DD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a) Generadores Comunes</w:t>
            </w:r>
          </w:p>
        </w:tc>
      </w:tr>
      <w:tr w:rsidR="009D0F13" w:rsidRPr="00A779DD">
        <w:trPr>
          <w:trHeight w:val="255"/>
          <w:jc w:val="center"/>
        </w:trPr>
        <w:tc>
          <w:tcPr>
            <w:tcW w:w="3592" w:type="dxa"/>
            <w:shd w:val="clear" w:color="auto" w:fill="auto"/>
            <w:noWrap/>
            <w:vAlign w:val="bottom"/>
          </w:tcPr>
          <w:p w:rsidR="009D0F13" w:rsidRPr="00A779DD" w:rsidRDefault="009D0F13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 xml:space="preserve">Residencial / Doméstico </w:t>
            </w:r>
          </w:p>
        </w:tc>
      </w:tr>
      <w:tr w:rsidR="009D0F13" w:rsidRPr="00A779DD">
        <w:trPr>
          <w:trHeight w:val="255"/>
          <w:jc w:val="center"/>
        </w:trPr>
        <w:tc>
          <w:tcPr>
            <w:tcW w:w="3592" w:type="dxa"/>
            <w:shd w:val="clear" w:color="auto" w:fill="auto"/>
            <w:noWrap/>
            <w:vAlign w:val="bottom"/>
          </w:tcPr>
          <w:p w:rsidR="009D0F13" w:rsidRPr="00A779DD" w:rsidRDefault="009D0F13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 xml:space="preserve">Comercial  </w:t>
            </w:r>
          </w:p>
        </w:tc>
      </w:tr>
      <w:tr w:rsidR="009D0F13" w:rsidRPr="00A779DD">
        <w:trPr>
          <w:trHeight w:val="255"/>
          <w:jc w:val="center"/>
        </w:trPr>
        <w:tc>
          <w:tcPr>
            <w:tcW w:w="3592" w:type="dxa"/>
            <w:shd w:val="clear" w:color="auto" w:fill="auto"/>
            <w:noWrap/>
            <w:vAlign w:val="bottom"/>
          </w:tcPr>
          <w:p w:rsidR="009D0F13" w:rsidRPr="00A779DD" w:rsidRDefault="009D0F13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 xml:space="preserve">Industrial / Artesanal </w:t>
            </w:r>
          </w:p>
        </w:tc>
      </w:tr>
      <w:tr w:rsidR="009D0F13" w:rsidRPr="00A779DD">
        <w:trPr>
          <w:trHeight w:val="255"/>
          <w:jc w:val="center"/>
        </w:trPr>
        <w:tc>
          <w:tcPr>
            <w:tcW w:w="3592" w:type="dxa"/>
            <w:shd w:val="clear" w:color="auto" w:fill="auto"/>
            <w:noWrap/>
            <w:vAlign w:val="bottom"/>
          </w:tcPr>
          <w:p w:rsidR="009D0F13" w:rsidRPr="00A779DD" w:rsidRDefault="009D0F13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 xml:space="preserve">Industrias que no son generadores especiales  </w:t>
            </w:r>
          </w:p>
        </w:tc>
      </w:tr>
      <w:tr w:rsidR="009D0F13" w:rsidRPr="00A779DD">
        <w:trPr>
          <w:trHeight w:val="255"/>
          <w:jc w:val="center"/>
        </w:trPr>
        <w:tc>
          <w:tcPr>
            <w:tcW w:w="3592" w:type="dxa"/>
            <w:shd w:val="clear" w:color="auto" w:fill="auto"/>
            <w:noWrap/>
            <w:vAlign w:val="bottom"/>
          </w:tcPr>
          <w:p w:rsidR="009D0F13" w:rsidRPr="00A779DD" w:rsidRDefault="009D0F13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 xml:space="preserve">Otros  </w:t>
            </w:r>
          </w:p>
        </w:tc>
      </w:tr>
      <w:tr w:rsidR="009D0F13" w:rsidRPr="00A779DD">
        <w:trPr>
          <w:trHeight w:val="255"/>
          <w:jc w:val="center"/>
        </w:trPr>
        <w:tc>
          <w:tcPr>
            <w:tcW w:w="3592" w:type="dxa"/>
            <w:shd w:val="clear" w:color="auto" w:fill="FFCC99"/>
            <w:noWrap/>
            <w:vAlign w:val="bottom"/>
          </w:tcPr>
          <w:p w:rsidR="009D0F13" w:rsidRPr="00A779DD" w:rsidRDefault="009D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A779DD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b) Generadores Especiales</w:t>
            </w:r>
          </w:p>
        </w:tc>
      </w:tr>
      <w:tr w:rsidR="009D0F13" w:rsidRPr="00A779DD">
        <w:trPr>
          <w:trHeight w:val="255"/>
          <w:jc w:val="center"/>
        </w:trPr>
        <w:tc>
          <w:tcPr>
            <w:tcW w:w="3592" w:type="dxa"/>
            <w:shd w:val="clear" w:color="auto" w:fill="auto"/>
            <w:noWrap/>
            <w:vAlign w:val="bottom"/>
          </w:tcPr>
          <w:p w:rsidR="009D0F13" w:rsidRPr="00A779DD" w:rsidRDefault="009D0F13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 xml:space="preserve">Industrias y Otros   </w:t>
            </w:r>
          </w:p>
        </w:tc>
      </w:tr>
      <w:tr w:rsidR="009D0F13" w:rsidRPr="00A779DD">
        <w:trPr>
          <w:trHeight w:val="255"/>
          <w:jc w:val="center"/>
        </w:trPr>
        <w:tc>
          <w:tcPr>
            <w:tcW w:w="3592" w:type="dxa"/>
            <w:shd w:val="clear" w:color="auto" w:fill="FFCC99"/>
            <w:noWrap/>
            <w:vAlign w:val="bottom"/>
          </w:tcPr>
          <w:p w:rsidR="009D0F13" w:rsidRPr="00A779DD" w:rsidRDefault="009D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A779DD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c) Generadores de Desechos Peligrosos</w:t>
            </w:r>
          </w:p>
        </w:tc>
      </w:tr>
      <w:tr w:rsidR="009D0F13" w:rsidRPr="00A779DD">
        <w:trPr>
          <w:trHeight w:val="255"/>
          <w:jc w:val="center"/>
        </w:trPr>
        <w:tc>
          <w:tcPr>
            <w:tcW w:w="3592" w:type="dxa"/>
            <w:shd w:val="clear" w:color="auto" w:fill="auto"/>
            <w:noWrap/>
            <w:vAlign w:val="bottom"/>
          </w:tcPr>
          <w:p w:rsidR="009D0F13" w:rsidRPr="00A779DD" w:rsidRDefault="009D0F13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 xml:space="preserve">Clínicas y Hospitales   </w:t>
            </w:r>
          </w:p>
        </w:tc>
      </w:tr>
    </w:tbl>
    <w:p w:rsidR="00393313" w:rsidRPr="00A779DD" w:rsidRDefault="00393313" w:rsidP="00257403">
      <w:pPr>
        <w:spacing w:line="480" w:lineRule="auto"/>
        <w:jc w:val="both"/>
        <w:rPr>
          <w:rFonts w:ascii="Arial" w:hAnsi="Arial" w:cs="Arial"/>
        </w:rPr>
      </w:pPr>
    </w:p>
    <w:p w:rsidR="00393313" w:rsidRPr="00A779DD" w:rsidRDefault="00393313" w:rsidP="00257403">
      <w:pPr>
        <w:spacing w:line="480" w:lineRule="auto"/>
        <w:jc w:val="both"/>
        <w:rPr>
          <w:rFonts w:ascii="Arial" w:hAnsi="Arial" w:cs="Arial"/>
        </w:rPr>
      </w:pPr>
    </w:p>
    <w:p w:rsidR="000C1D87" w:rsidRPr="00A779DD" w:rsidRDefault="006574C8" w:rsidP="00257403">
      <w:pPr>
        <w:spacing w:line="480" w:lineRule="auto"/>
        <w:jc w:val="both"/>
        <w:rPr>
          <w:rFonts w:ascii="Arial" w:hAnsi="Arial" w:cs="Arial"/>
        </w:rPr>
      </w:pPr>
      <w:r w:rsidRPr="00A779DD">
        <w:rPr>
          <w:rFonts w:ascii="Arial" w:hAnsi="Arial" w:cs="Arial"/>
        </w:rPr>
        <w:t>Los</w:t>
      </w:r>
      <w:r w:rsidR="00055F49" w:rsidRPr="00A779DD">
        <w:rPr>
          <w:rFonts w:ascii="Arial" w:hAnsi="Arial" w:cs="Arial"/>
        </w:rPr>
        <w:t xml:space="preserve"> datos </w:t>
      </w:r>
      <w:r w:rsidRPr="00A779DD">
        <w:rPr>
          <w:rFonts w:ascii="Arial" w:hAnsi="Arial" w:cs="Arial"/>
        </w:rPr>
        <w:t>fueron tomados del Resumen de Facturación Neta de la Empresa Eléctrica Regional  El Oro   S.A.</w:t>
      </w:r>
    </w:p>
    <w:p w:rsidR="00926F2D" w:rsidRDefault="00926F2D" w:rsidP="006574C8">
      <w:pPr>
        <w:jc w:val="both"/>
        <w:rPr>
          <w:rFonts w:ascii="Arial" w:hAnsi="Arial" w:cs="Arial"/>
        </w:rPr>
      </w:pPr>
    </w:p>
    <w:p w:rsidR="00A31420" w:rsidRPr="00A779DD" w:rsidRDefault="00A31420" w:rsidP="006574C8">
      <w:pPr>
        <w:jc w:val="both"/>
        <w:rPr>
          <w:rFonts w:ascii="Arial" w:hAnsi="Arial" w:cs="Arial"/>
        </w:rPr>
      </w:pPr>
    </w:p>
    <w:p w:rsidR="00926F2D" w:rsidRPr="00A779DD" w:rsidRDefault="00926F2D" w:rsidP="006574C8">
      <w:pPr>
        <w:jc w:val="both"/>
        <w:rPr>
          <w:rFonts w:ascii="Arial" w:hAnsi="Arial" w:cs="Arial"/>
        </w:rPr>
      </w:pPr>
    </w:p>
    <w:p w:rsidR="00926F2D" w:rsidRPr="00A779DD" w:rsidRDefault="00926F2D" w:rsidP="005B4246">
      <w:pPr>
        <w:jc w:val="both"/>
        <w:rPr>
          <w:rFonts w:ascii="Arial" w:hAnsi="Arial" w:cs="Arial"/>
          <w:b/>
          <w:u w:val="single"/>
        </w:rPr>
      </w:pPr>
      <w:r w:rsidRPr="00A779DD">
        <w:rPr>
          <w:rFonts w:ascii="Arial" w:hAnsi="Arial" w:cs="Arial"/>
          <w:b/>
          <w:u w:val="single"/>
        </w:rPr>
        <w:t>Tarifas</w:t>
      </w:r>
    </w:p>
    <w:p w:rsidR="00926F2D" w:rsidRPr="00A779DD" w:rsidRDefault="00926F2D" w:rsidP="006574C8">
      <w:pPr>
        <w:jc w:val="both"/>
        <w:rPr>
          <w:rFonts w:ascii="Arial" w:hAnsi="Arial" w:cs="Arial"/>
        </w:rPr>
      </w:pPr>
    </w:p>
    <w:p w:rsidR="00257403" w:rsidRPr="00A779DD" w:rsidRDefault="00257403" w:rsidP="00257403">
      <w:pPr>
        <w:spacing w:line="480" w:lineRule="auto"/>
        <w:jc w:val="both"/>
        <w:rPr>
          <w:rFonts w:ascii="Arial" w:hAnsi="Arial" w:cs="Arial"/>
        </w:rPr>
      </w:pPr>
    </w:p>
    <w:p w:rsidR="00926F2D" w:rsidRPr="00A779DD" w:rsidRDefault="00926F2D" w:rsidP="00257403">
      <w:pPr>
        <w:spacing w:line="480" w:lineRule="auto"/>
        <w:jc w:val="both"/>
        <w:rPr>
          <w:rFonts w:ascii="Arial" w:hAnsi="Arial" w:cs="Arial"/>
        </w:rPr>
      </w:pPr>
      <w:r w:rsidRPr="00A779DD">
        <w:rPr>
          <w:rFonts w:ascii="Arial" w:hAnsi="Arial" w:cs="Arial"/>
        </w:rPr>
        <w:t>Se procedió a establecer una tarifa para cada tipo de contri</w:t>
      </w:r>
      <w:r w:rsidR="007F5006" w:rsidRPr="00A779DD">
        <w:rPr>
          <w:rFonts w:ascii="Arial" w:hAnsi="Arial" w:cs="Arial"/>
        </w:rPr>
        <w:t>buyente</w:t>
      </w:r>
      <w:r w:rsidRPr="00A779DD">
        <w:rPr>
          <w:rFonts w:ascii="Arial" w:hAnsi="Arial" w:cs="Arial"/>
        </w:rPr>
        <w:t xml:space="preserve"> </w:t>
      </w:r>
      <w:r w:rsidR="00257403" w:rsidRPr="00A779DD">
        <w:rPr>
          <w:rFonts w:ascii="Arial" w:hAnsi="Arial" w:cs="Arial"/>
        </w:rPr>
        <w:t>de acuerdo al siguiente e</w:t>
      </w:r>
      <w:r w:rsidR="00442BFE" w:rsidRPr="00A779DD">
        <w:rPr>
          <w:rFonts w:ascii="Arial" w:hAnsi="Arial" w:cs="Arial"/>
        </w:rPr>
        <w:t>s</w:t>
      </w:r>
      <w:r w:rsidR="00257403" w:rsidRPr="00A779DD">
        <w:rPr>
          <w:rFonts w:ascii="Arial" w:hAnsi="Arial" w:cs="Arial"/>
        </w:rPr>
        <w:t>quema que</w:t>
      </w:r>
      <w:r w:rsidR="00442BFE" w:rsidRPr="00A779DD">
        <w:rPr>
          <w:rFonts w:ascii="Arial" w:hAnsi="Arial" w:cs="Arial"/>
        </w:rPr>
        <w:t xml:space="preserve"> se</w:t>
      </w:r>
      <w:r w:rsidRPr="00A779DD">
        <w:rPr>
          <w:rFonts w:ascii="Arial" w:hAnsi="Arial" w:cs="Arial"/>
        </w:rPr>
        <w:t xml:space="preserve"> detalla a continuación:</w:t>
      </w:r>
    </w:p>
    <w:p w:rsidR="00766993" w:rsidRPr="00A779DD" w:rsidRDefault="00766993" w:rsidP="006574C8">
      <w:pPr>
        <w:jc w:val="both"/>
        <w:rPr>
          <w:rFonts w:ascii="Arial" w:hAnsi="Arial" w:cs="Arial"/>
          <w:u w:val="single"/>
        </w:rPr>
      </w:pPr>
    </w:p>
    <w:p w:rsidR="00946772" w:rsidRPr="00A779DD" w:rsidRDefault="00946772" w:rsidP="006574C8">
      <w:pPr>
        <w:jc w:val="both"/>
        <w:rPr>
          <w:rFonts w:ascii="Arial" w:hAnsi="Arial" w:cs="Arial"/>
          <w:u w:val="single"/>
        </w:rPr>
      </w:pPr>
    </w:p>
    <w:p w:rsidR="00766993" w:rsidRPr="00A779DD" w:rsidRDefault="00766993" w:rsidP="006574C8">
      <w:pPr>
        <w:jc w:val="both"/>
        <w:rPr>
          <w:rFonts w:ascii="Arial" w:hAnsi="Arial" w:cs="Arial"/>
          <w:b/>
          <w:u w:val="single"/>
        </w:rPr>
      </w:pPr>
      <w:r w:rsidRPr="00A779DD">
        <w:rPr>
          <w:rFonts w:ascii="Arial" w:hAnsi="Arial" w:cs="Arial"/>
          <w:b/>
          <w:u w:val="single"/>
        </w:rPr>
        <w:t>Tarifa Generadores Comunes</w:t>
      </w:r>
    </w:p>
    <w:p w:rsidR="000C1D87" w:rsidRPr="00A779DD" w:rsidRDefault="000C1D87" w:rsidP="00766993">
      <w:pPr>
        <w:jc w:val="both"/>
        <w:rPr>
          <w:rFonts w:ascii="Arial" w:hAnsi="Arial" w:cs="Arial"/>
          <w:sz w:val="20"/>
          <w:szCs w:val="20"/>
        </w:rPr>
      </w:pPr>
    </w:p>
    <w:p w:rsidR="00946772" w:rsidRPr="00A779DD" w:rsidRDefault="00946772" w:rsidP="00766993">
      <w:pPr>
        <w:jc w:val="both"/>
        <w:rPr>
          <w:rFonts w:ascii="Arial" w:hAnsi="Arial" w:cs="Arial"/>
          <w:sz w:val="20"/>
          <w:szCs w:val="20"/>
        </w:rPr>
      </w:pPr>
    </w:p>
    <w:p w:rsidR="00946772" w:rsidRPr="00A779DD" w:rsidRDefault="00946772" w:rsidP="00766993">
      <w:pPr>
        <w:jc w:val="both"/>
        <w:rPr>
          <w:rFonts w:ascii="Arial" w:hAnsi="Arial" w:cs="Arial"/>
          <w:sz w:val="20"/>
          <w:szCs w:val="20"/>
        </w:rPr>
      </w:pPr>
    </w:p>
    <w:p w:rsidR="00766993" w:rsidRPr="00A779DD" w:rsidRDefault="00766993" w:rsidP="0076699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779DD">
        <w:rPr>
          <w:rFonts w:ascii="Arial" w:hAnsi="Arial" w:cs="Arial"/>
          <w:b/>
          <w:bCs/>
          <w:sz w:val="20"/>
          <w:szCs w:val="20"/>
        </w:rPr>
        <w:t>TGC = (Co * Fr</w:t>
      </w:r>
      <w:r w:rsidR="00DC7D08" w:rsidRPr="00A779DD">
        <w:rPr>
          <w:rFonts w:ascii="Arial" w:hAnsi="Arial" w:cs="Arial"/>
          <w:b/>
          <w:bCs/>
          <w:sz w:val="20"/>
          <w:szCs w:val="20"/>
        </w:rPr>
        <w:t xml:space="preserve"> </w:t>
      </w:r>
      <w:r w:rsidRPr="00A779DD">
        <w:rPr>
          <w:rFonts w:ascii="Arial" w:hAnsi="Arial" w:cs="Arial"/>
          <w:b/>
          <w:bCs/>
          <w:sz w:val="20"/>
          <w:szCs w:val="20"/>
        </w:rPr>
        <w:t>+</w:t>
      </w:r>
      <w:r w:rsidR="00DC7D08" w:rsidRPr="00A779DD">
        <w:rPr>
          <w:rFonts w:ascii="Arial" w:hAnsi="Arial" w:cs="Arial"/>
          <w:b/>
          <w:bCs/>
          <w:sz w:val="20"/>
          <w:szCs w:val="20"/>
        </w:rPr>
        <w:t xml:space="preserve"> </w:t>
      </w:r>
      <w:r w:rsidRPr="00A779DD">
        <w:rPr>
          <w:rFonts w:ascii="Arial" w:hAnsi="Arial" w:cs="Arial"/>
          <w:b/>
          <w:bCs/>
          <w:sz w:val="20"/>
          <w:szCs w:val="20"/>
        </w:rPr>
        <w:t>Cf * Fi) * Ks</w:t>
      </w:r>
    </w:p>
    <w:tbl>
      <w:tblPr>
        <w:tblW w:w="60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56"/>
      </w:tblGrid>
      <w:tr w:rsidR="00766993" w:rsidRPr="00A779DD">
        <w:trPr>
          <w:trHeight w:val="255"/>
        </w:trPr>
        <w:tc>
          <w:tcPr>
            <w:tcW w:w="6056" w:type="dxa"/>
            <w:shd w:val="clear" w:color="auto" w:fill="auto"/>
            <w:noWrap/>
            <w:vAlign w:val="bottom"/>
          </w:tcPr>
          <w:p w:rsidR="00DC7D08" w:rsidRPr="00A779DD" w:rsidRDefault="00DC7D08">
            <w:pPr>
              <w:rPr>
                <w:rFonts w:ascii="Arial" w:hAnsi="Arial" w:cs="Arial"/>
                <w:sz w:val="16"/>
                <w:szCs w:val="16"/>
              </w:rPr>
            </w:pPr>
          </w:p>
          <w:p w:rsidR="00766993" w:rsidRPr="00A779DD" w:rsidRDefault="00766993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Costo operacional mensual por familia (Co)</w:t>
            </w:r>
          </w:p>
        </w:tc>
      </w:tr>
      <w:tr w:rsidR="00766993" w:rsidRPr="00A779DD">
        <w:trPr>
          <w:trHeight w:val="255"/>
        </w:trPr>
        <w:tc>
          <w:tcPr>
            <w:tcW w:w="6056" w:type="dxa"/>
            <w:shd w:val="clear" w:color="auto" w:fill="auto"/>
            <w:noWrap/>
            <w:vAlign w:val="bottom"/>
          </w:tcPr>
          <w:p w:rsidR="00766993" w:rsidRPr="00A779DD" w:rsidRDefault="00766993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Factor de reajuste de costos operativos (Fr)</w:t>
            </w:r>
          </w:p>
        </w:tc>
      </w:tr>
      <w:tr w:rsidR="00766993" w:rsidRPr="00A779DD">
        <w:trPr>
          <w:trHeight w:val="255"/>
        </w:trPr>
        <w:tc>
          <w:tcPr>
            <w:tcW w:w="6056" w:type="dxa"/>
            <w:shd w:val="clear" w:color="auto" w:fill="auto"/>
            <w:noWrap/>
            <w:vAlign w:val="bottom"/>
          </w:tcPr>
          <w:p w:rsidR="00766993" w:rsidRPr="00A779DD" w:rsidRDefault="00766993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Cargo fijo mensual por contribuyente (Cf)</w:t>
            </w:r>
          </w:p>
        </w:tc>
      </w:tr>
      <w:tr w:rsidR="00766993" w:rsidRPr="00A779DD">
        <w:trPr>
          <w:trHeight w:val="255"/>
        </w:trPr>
        <w:tc>
          <w:tcPr>
            <w:tcW w:w="6056" w:type="dxa"/>
            <w:shd w:val="clear" w:color="auto" w:fill="auto"/>
            <w:noWrap/>
            <w:vAlign w:val="bottom"/>
          </w:tcPr>
          <w:p w:rsidR="00766993" w:rsidRPr="00A779DD" w:rsidRDefault="00766993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Factor de reajuste por intereses (Fi)</w:t>
            </w:r>
          </w:p>
        </w:tc>
      </w:tr>
      <w:tr w:rsidR="00766993" w:rsidRPr="00A779DD">
        <w:trPr>
          <w:trHeight w:val="255"/>
        </w:trPr>
        <w:tc>
          <w:tcPr>
            <w:tcW w:w="6056" w:type="dxa"/>
            <w:shd w:val="clear" w:color="auto" w:fill="auto"/>
            <w:noWrap/>
            <w:vAlign w:val="bottom"/>
          </w:tcPr>
          <w:p w:rsidR="00766993" w:rsidRPr="00A779DD" w:rsidRDefault="00766993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Factor de subsidio solidario (Ks)</w:t>
            </w:r>
            <w:r w:rsidR="00B71FD8" w:rsidRPr="00A779DD">
              <w:rPr>
                <w:rFonts w:ascii="Arial" w:hAnsi="Arial" w:cs="Arial"/>
                <w:sz w:val="16"/>
                <w:szCs w:val="16"/>
              </w:rPr>
              <w:t xml:space="preserve"> (Residencial)</w:t>
            </w:r>
          </w:p>
        </w:tc>
      </w:tr>
      <w:tr w:rsidR="00766993" w:rsidRPr="00A779DD">
        <w:trPr>
          <w:trHeight w:val="255"/>
        </w:trPr>
        <w:tc>
          <w:tcPr>
            <w:tcW w:w="6056" w:type="dxa"/>
            <w:shd w:val="clear" w:color="auto" w:fill="auto"/>
            <w:noWrap/>
            <w:vAlign w:val="bottom"/>
          </w:tcPr>
          <w:p w:rsidR="00766993" w:rsidRPr="00A779DD" w:rsidRDefault="00766993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Factor de subsidio solidario (Ks)</w:t>
            </w:r>
            <w:r w:rsidR="00B71FD8" w:rsidRPr="00A779DD">
              <w:rPr>
                <w:rFonts w:ascii="Arial" w:hAnsi="Arial" w:cs="Arial"/>
                <w:sz w:val="16"/>
                <w:szCs w:val="16"/>
              </w:rPr>
              <w:t xml:space="preserve"> (Comercial)</w:t>
            </w:r>
          </w:p>
        </w:tc>
      </w:tr>
      <w:tr w:rsidR="00766993" w:rsidRPr="00A779DD">
        <w:trPr>
          <w:trHeight w:val="255"/>
        </w:trPr>
        <w:tc>
          <w:tcPr>
            <w:tcW w:w="6056" w:type="dxa"/>
            <w:shd w:val="clear" w:color="auto" w:fill="auto"/>
            <w:noWrap/>
            <w:vAlign w:val="bottom"/>
          </w:tcPr>
          <w:p w:rsidR="00766993" w:rsidRPr="00A779DD" w:rsidRDefault="00766993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Factor de subsidio solidario (Ks)</w:t>
            </w:r>
            <w:r w:rsidR="00B71FD8" w:rsidRPr="00A779DD">
              <w:rPr>
                <w:rFonts w:ascii="Arial" w:hAnsi="Arial" w:cs="Arial"/>
                <w:sz w:val="16"/>
                <w:szCs w:val="16"/>
              </w:rPr>
              <w:t xml:space="preserve"> (No Especiales)</w:t>
            </w:r>
          </w:p>
        </w:tc>
      </w:tr>
    </w:tbl>
    <w:p w:rsidR="00766993" w:rsidRPr="00A779DD" w:rsidRDefault="00766993" w:rsidP="00766993">
      <w:pPr>
        <w:jc w:val="both"/>
        <w:rPr>
          <w:rFonts w:ascii="Arial" w:hAnsi="Arial" w:cs="Arial"/>
        </w:rPr>
      </w:pPr>
    </w:p>
    <w:p w:rsidR="003567F8" w:rsidRDefault="003567F8" w:rsidP="00766993">
      <w:pPr>
        <w:jc w:val="both"/>
        <w:rPr>
          <w:rFonts w:ascii="Arial" w:hAnsi="Arial" w:cs="Arial"/>
        </w:rPr>
      </w:pPr>
    </w:p>
    <w:p w:rsidR="007A2653" w:rsidRPr="00A779DD" w:rsidRDefault="007A2653" w:rsidP="00766993">
      <w:pPr>
        <w:jc w:val="both"/>
        <w:rPr>
          <w:rFonts w:ascii="Arial" w:hAnsi="Arial" w:cs="Arial"/>
        </w:rPr>
      </w:pPr>
    </w:p>
    <w:p w:rsidR="003567F8" w:rsidRPr="00A779DD" w:rsidRDefault="003567F8" w:rsidP="00766993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779DD">
        <w:rPr>
          <w:rFonts w:ascii="Arial" w:hAnsi="Arial" w:cs="Arial"/>
          <w:b/>
          <w:sz w:val="20"/>
          <w:szCs w:val="20"/>
          <w:u w:val="single"/>
        </w:rPr>
        <w:t>Tarifa Generadores Especiales</w:t>
      </w:r>
    </w:p>
    <w:p w:rsidR="003567F8" w:rsidRPr="00A779DD" w:rsidRDefault="003567F8" w:rsidP="00766993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946772" w:rsidRPr="00A779DD" w:rsidRDefault="00946772" w:rsidP="003567F8">
      <w:pPr>
        <w:jc w:val="both"/>
        <w:rPr>
          <w:rFonts w:ascii="Arial" w:hAnsi="Arial" w:cs="Arial"/>
          <w:b/>
          <w:sz w:val="20"/>
          <w:szCs w:val="20"/>
        </w:rPr>
      </w:pPr>
    </w:p>
    <w:p w:rsidR="003567F8" w:rsidRPr="00A779DD" w:rsidRDefault="003567F8" w:rsidP="003567F8">
      <w:pPr>
        <w:jc w:val="both"/>
        <w:rPr>
          <w:rFonts w:ascii="Arial" w:hAnsi="Arial" w:cs="Arial"/>
          <w:b/>
          <w:sz w:val="20"/>
          <w:szCs w:val="20"/>
        </w:rPr>
      </w:pPr>
      <w:r w:rsidRPr="00A779DD">
        <w:rPr>
          <w:rFonts w:ascii="Arial" w:hAnsi="Arial" w:cs="Arial"/>
          <w:b/>
          <w:sz w:val="20"/>
          <w:szCs w:val="20"/>
        </w:rPr>
        <w:t>TGE = ((COU * N * Vc * d) * Fr + CF * Fi) * Ks</w:t>
      </w:r>
    </w:p>
    <w:p w:rsidR="003567F8" w:rsidRPr="00A779DD" w:rsidRDefault="003567F8" w:rsidP="00766993">
      <w:pPr>
        <w:jc w:val="both"/>
        <w:rPr>
          <w:rFonts w:ascii="Arial" w:hAnsi="Arial" w:cs="Arial"/>
          <w:u w:val="single"/>
        </w:rPr>
      </w:pPr>
    </w:p>
    <w:tbl>
      <w:tblPr>
        <w:tblW w:w="60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56"/>
      </w:tblGrid>
      <w:tr w:rsidR="003567F8" w:rsidRPr="00A779DD">
        <w:trPr>
          <w:trHeight w:val="255"/>
        </w:trPr>
        <w:tc>
          <w:tcPr>
            <w:tcW w:w="6056" w:type="dxa"/>
            <w:shd w:val="clear" w:color="auto" w:fill="auto"/>
            <w:noWrap/>
            <w:vAlign w:val="bottom"/>
          </w:tcPr>
          <w:p w:rsidR="003567F8" w:rsidRPr="00A779DD" w:rsidRDefault="003567F8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Costo Operativo Unitario (COU)</w:t>
            </w:r>
          </w:p>
        </w:tc>
      </w:tr>
      <w:tr w:rsidR="003567F8" w:rsidRPr="00A779DD">
        <w:trPr>
          <w:trHeight w:val="255"/>
        </w:trPr>
        <w:tc>
          <w:tcPr>
            <w:tcW w:w="6056" w:type="dxa"/>
            <w:shd w:val="clear" w:color="auto" w:fill="auto"/>
            <w:noWrap/>
            <w:vAlign w:val="bottom"/>
          </w:tcPr>
          <w:p w:rsidR="003567F8" w:rsidRPr="00A779DD" w:rsidRDefault="003567F8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Número de contenedores recogidos por mes (N)</w:t>
            </w:r>
          </w:p>
        </w:tc>
      </w:tr>
      <w:tr w:rsidR="003567F8" w:rsidRPr="00A779DD">
        <w:trPr>
          <w:trHeight w:val="255"/>
        </w:trPr>
        <w:tc>
          <w:tcPr>
            <w:tcW w:w="6056" w:type="dxa"/>
            <w:shd w:val="clear" w:color="auto" w:fill="auto"/>
            <w:noWrap/>
            <w:vAlign w:val="bottom"/>
          </w:tcPr>
          <w:p w:rsidR="003567F8" w:rsidRPr="00A779DD" w:rsidRDefault="003567F8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V. estándar de los contenedores metálicos (m3)</w:t>
            </w:r>
          </w:p>
        </w:tc>
      </w:tr>
      <w:tr w:rsidR="003567F8" w:rsidRPr="00A779DD">
        <w:trPr>
          <w:trHeight w:val="255"/>
        </w:trPr>
        <w:tc>
          <w:tcPr>
            <w:tcW w:w="6056" w:type="dxa"/>
            <w:shd w:val="clear" w:color="auto" w:fill="auto"/>
            <w:noWrap/>
            <w:vAlign w:val="bottom"/>
          </w:tcPr>
          <w:p w:rsidR="003567F8" w:rsidRPr="00A779DD" w:rsidRDefault="003567F8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Peso específico promedio de los desechos de cada generador (d)</w:t>
            </w:r>
          </w:p>
        </w:tc>
      </w:tr>
      <w:tr w:rsidR="003567F8" w:rsidRPr="00A779DD">
        <w:trPr>
          <w:trHeight w:val="255"/>
        </w:trPr>
        <w:tc>
          <w:tcPr>
            <w:tcW w:w="6056" w:type="dxa"/>
            <w:shd w:val="clear" w:color="auto" w:fill="auto"/>
            <w:noWrap/>
            <w:vAlign w:val="bottom"/>
          </w:tcPr>
          <w:p w:rsidR="003567F8" w:rsidRPr="00A779DD" w:rsidRDefault="003567F8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Factor de reajuste de costos operativos (Fr)</w:t>
            </w:r>
          </w:p>
        </w:tc>
      </w:tr>
      <w:tr w:rsidR="003567F8" w:rsidRPr="00A779DD">
        <w:trPr>
          <w:trHeight w:val="255"/>
        </w:trPr>
        <w:tc>
          <w:tcPr>
            <w:tcW w:w="6056" w:type="dxa"/>
            <w:shd w:val="clear" w:color="auto" w:fill="auto"/>
            <w:noWrap/>
            <w:vAlign w:val="bottom"/>
          </w:tcPr>
          <w:p w:rsidR="003567F8" w:rsidRPr="00A779DD" w:rsidRDefault="003567F8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Cargo fijo mensual por contribuyente (Cf)</w:t>
            </w:r>
          </w:p>
        </w:tc>
      </w:tr>
      <w:tr w:rsidR="003567F8" w:rsidRPr="00A779DD">
        <w:trPr>
          <w:trHeight w:val="255"/>
        </w:trPr>
        <w:tc>
          <w:tcPr>
            <w:tcW w:w="6056" w:type="dxa"/>
            <w:shd w:val="clear" w:color="auto" w:fill="auto"/>
            <w:noWrap/>
            <w:vAlign w:val="bottom"/>
          </w:tcPr>
          <w:p w:rsidR="003567F8" w:rsidRPr="00A779DD" w:rsidRDefault="003567F8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Factor de reajuste por intereses (Fi)</w:t>
            </w:r>
          </w:p>
        </w:tc>
      </w:tr>
      <w:tr w:rsidR="003567F8" w:rsidRPr="00A779DD">
        <w:trPr>
          <w:trHeight w:val="255"/>
        </w:trPr>
        <w:tc>
          <w:tcPr>
            <w:tcW w:w="6056" w:type="dxa"/>
            <w:shd w:val="clear" w:color="auto" w:fill="auto"/>
            <w:noWrap/>
            <w:vAlign w:val="bottom"/>
          </w:tcPr>
          <w:p w:rsidR="003567F8" w:rsidRPr="00A779DD" w:rsidRDefault="003567F8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Factor de subsidio solidario (Ks)</w:t>
            </w:r>
          </w:p>
        </w:tc>
      </w:tr>
    </w:tbl>
    <w:p w:rsidR="003567F8" w:rsidRPr="00A779DD" w:rsidRDefault="003567F8" w:rsidP="00766993">
      <w:pPr>
        <w:jc w:val="both"/>
        <w:rPr>
          <w:rFonts w:ascii="Arial" w:hAnsi="Arial" w:cs="Arial"/>
          <w:u w:val="single"/>
        </w:rPr>
      </w:pPr>
    </w:p>
    <w:p w:rsidR="003567F8" w:rsidRPr="00A779DD" w:rsidRDefault="003567F8" w:rsidP="00766993">
      <w:pPr>
        <w:jc w:val="both"/>
        <w:rPr>
          <w:rFonts w:ascii="Arial" w:hAnsi="Arial" w:cs="Arial"/>
          <w:u w:val="single"/>
        </w:rPr>
      </w:pPr>
    </w:p>
    <w:p w:rsidR="00946772" w:rsidRPr="00A779DD" w:rsidRDefault="00946772" w:rsidP="00766993">
      <w:pPr>
        <w:jc w:val="both"/>
        <w:rPr>
          <w:rFonts w:ascii="Arial" w:hAnsi="Arial" w:cs="Arial"/>
          <w:u w:val="single"/>
        </w:rPr>
      </w:pPr>
    </w:p>
    <w:p w:rsidR="003567F8" w:rsidRPr="00A779DD" w:rsidRDefault="003567F8" w:rsidP="00766993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779DD">
        <w:rPr>
          <w:rFonts w:ascii="Arial" w:hAnsi="Arial" w:cs="Arial"/>
          <w:b/>
          <w:sz w:val="20"/>
          <w:szCs w:val="20"/>
          <w:u w:val="single"/>
        </w:rPr>
        <w:t>Tarifa Generadores Desechos Peligrosos</w:t>
      </w:r>
    </w:p>
    <w:p w:rsidR="003567F8" w:rsidRPr="00A779DD" w:rsidRDefault="003567F8" w:rsidP="00766993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946772" w:rsidRPr="00A779DD" w:rsidRDefault="00946772" w:rsidP="003567F8">
      <w:pPr>
        <w:jc w:val="both"/>
        <w:rPr>
          <w:rFonts w:ascii="Arial" w:hAnsi="Arial" w:cs="Arial"/>
          <w:b/>
          <w:sz w:val="20"/>
          <w:szCs w:val="20"/>
        </w:rPr>
      </w:pPr>
    </w:p>
    <w:p w:rsidR="003567F8" w:rsidRPr="00A779DD" w:rsidRDefault="003567F8" w:rsidP="003567F8">
      <w:pPr>
        <w:jc w:val="both"/>
        <w:rPr>
          <w:rFonts w:ascii="Arial" w:hAnsi="Arial" w:cs="Arial"/>
          <w:b/>
          <w:sz w:val="20"/>
          <w:szCs w:val="20"/>
        </w:rPr>
      </w:pPr>
      <w:r w:rsidRPr="00A779DD">
        <w:rPr>
          <w:rFonts w:ascii="Arial" w:hAnsi="Arial" w:cs="Arial"/>
          <w:b/>
          <w:sz w:val="20"/>
          <w:szCs w:val="20"/>
        </w:rPr>
        <w:t>TDP = (CU * P * Fr + CF * Fi)  *  Kp</w:t>
      </w:r>
    </w:p>
    <w:p w:rsidR="003567F8" w:rsidRPr="00A779DD" w:rsidRDefault="003567F8" w:rsidP="003567F8">
      <w:pPr>
        <w:jc w:val="both"/>
        <w:rPr>
          <w:rFonts w:ascii="Arial" w:hAnsi="Arial" w:cs="Arial"/>
          <w:b/>
        </w:rPr>
      </w:pPr>
    </w:p>
    <w:tbl>
      <w:tblPr>
        <w:tblW w:w="60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56"/>
      </w:tblGrid>
      <w:tr w:rsidR="003567F8" w:rsidRPr="00A779DD">
        <w:trPr>
          <w:trHeight w:val="255"/>
        </w:trPr>
        <w:tc>
          <w:tcPr>
            <w:tcW w:w="6056" w:type="dxa"/>
            <w:shd w:val="clear" w:color="auto" w:fill="auto"/>
            <w:noWrap/>
            <w:vAlign w:val="bottom"/>
          </w:tcPr>
          <w:p w:rsidR="003567F8" w:rsidRPr="00A779DD" w:rsidRDefault="003567F8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Costo Unitario (CU)</w:t>
            </w:r>
          </w:p>
        </w:tc>
      </w:tr>
      <w:tr w:rsidR="003567F8" w:rsidRPr="00A779DD">
        <w:trPr>
          <w:trHeight w:val="255"/>
        </w:trPr>
        <w:tc>
          <w:tcPr>
            <w:tcW w:w="6056" w:type="dxa"/>
            <w:shd w:val="clear" w:color="auto" w:fill="auto"/>
            <w:noWrap/>
            <w:vAlign w:val="bottom"/>
          </w:tcPr>
          <w:p w:rsidR="003567F8" w:rsidRPr="00A779DD" w:rsidRDefault="003567F8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Peso de desechos peligrosos recolectados por mes en cada establecimiento (P)</w:t>
            </w:r>
          </w:p>
        </w:tc>
      </w:tr>
      <w:tr w:rsidR="003567F8" w:rsidRPr="00A779DD">
        <w:trPr>
          <w:trHeight w:val="255"/>
        </w:trPr>
        <w:tc>
          <w:tcPr>
            <w:tcW w:w="6056" w:type="dxa"/>
            <w:shd w:val="clear" w:color="auto" w:fill="auto"/>
            <w:noWrap/>
            <w:vAlign w:val="bottom"/>
          </w:tcPr>
          <w:p w:rsidR="003567F8" w:rsidRPr="00A779DD" w:rsidRDefault="003567F8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Factor de reajuste de costos operativos (Fr)</w:t>
            </w:r>
          </w:p>
        </w:tc>
      </w:tr>
      <w:tr w:rsidR="003567F8" w:rsidRPr="00A779DD">
        <w:trPr>
          <w:trHeight w:val="255"/>
        </w:trPr>
        <w:tc>
          <w:tcPr>
            <w:tcW w:w="6056" w:type="dxa"/>
            <w:shd w:val="clear" w:color="auto" w:fill="auto"/>
            <w:noWrap/>
            <w:vAlign w:val="bottom"/>
          </w:tcPr>
          <w:p w:rsidR="003567F8" w:rsidRPr="00A779DD" w:rsidRDefault="003567F8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Cargo fijo mensual por contribuyente (Cf)</w:t>
            </w:r>
          </w:p>
        </w:tc>
      </w:tr>
      <w:tr w:rsidR="003567F8" w:rsidRPr="00A779DD">
        <w:trPr>
          <w:trHeight w:val="255"/>
        </w:trPr>
        <w:tc>
          <w:tcPr>
            <w:tcW w:w="6056" w:type="dxa"/>
            <w:shd w:val="clear" w:color="auto" w:fill="auto"/>
            <w:noWrap/>
            <w:vAlign w:val="bottom"/>
          </w:tcPr>
          <w:p w:rsidR="003567F8" w:rsidRPr="00A779DD" w:rsidRDefault="003567F8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Factor de reajuste por intereses (Fi)</w:t>
            </w:r>
          </w:p>
        </w:tc>
      </w:tr>
      <w:tr w:rsidR="003567F8" w:rsidRPr="00A779DD">
        <w:trPr>
          <w:trHeight w:val="255"/>
        </w:trPr>
        <w:tc>
          <w:tcPr>
            <w:tcW w:w="6056" w:type="dxa"/>
            <w:shd w:val="clear" w:color="auto" w:fill="auto"/>
            <w:noWrap/>
            <w:vAlign w:val="bottom"/>
          </w:tcPr>
          <w:p w:rsidR="003567F8" w:rsidRPr="00A779DD" w:rsidRDefault="003567F8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Factor por peligrosidad  (Kp)</w:t>
            </w:r>
          </w:p>
        </w:tc>
      </w:tr>
    </w:tbl>
    <w:p w:rsidR="003567F8" w:rsidRPr="00A779DD" w:rsidRDefault="003567F8" w:rsidP="003567F8">
      <w:pPr>
        <w:jc w:val="both"/>
        <w:rPr>
          <w:rFonts w:ascii="Arial" w:hAnsi="Arial" w:cs="Arial"/>
          <w:b/>
        </w:rPr>
      </w:pPr>
    </w:p>
    <w:p w:rsidR="000C1D87" w:rsidRPr="00A779DD" w:rsidRDefault="00AB6463" w:rsidP="00257403">
      <w:pPr>
        <w:spacing w:line="480" w:lineRule="auto"/>
        <w:jc w:val="both"/>
        <w:rPr>
          <w:rFonts w:ascii="Arial" w:hAnsi="Arial" w:cs="Arial"/>
        </w:rPr>
      </w:pPr>
      <w:r w:rsidRPr="00A779DD">
        <w:rPr>
          <w:rFonts w:ascii="Arial" w:hAnsi="Arial" w:cs="Arial"/>
        </w:rPr>
        <w:t xml:space="preserve">Para </w:t>
      </w:r>
      <w:r w:rsidR="008149BE" w:rsidRPr="00A779DD">
        <w:rPr>
          <w:rFonts w:ascii="Arial" w:hAnsi="Arial" w:cs="Arial"/>
        </w:rPr>
        <w:t xml:space="preserve">realizar los </w:t>
      </w:r>
      <w:r w:rsidRPr="00A779DD">
        <w:rPr>
          <w:rFonts w:ascii="Arial" w:hAnsi="Arial" w:cs="Arial"/>
        </w:rPr>
        <w:t>cálculos se utilizaron datos proporcionados</w:t>
      </w:r>
      <w:r w:rsidR="00CC06F6" w:rsidRPr="00A779DD">
        <w:rPr>
          <w:rFonts w:ascii="Arial" w:hAnsi="Arial" w:cs="Arial"/>
        </w:rPr>
        <w:t xml:space="preserve"> por </w:t>
      </w:r>
      <w:r w:rsidRPr="00A779DD">
        <w:rPr>
          <w:rFonts w:ascii="Arial" w:hAnsi="Arial" w:cs="Arial"/>
        </w:rPr>
        <w:t>el INEC, EMA</w:t>
      </w:r>
      <w:r w:rsidR="00442BFE" w:rsidRPr="00A779DD">
        <w:rPr>
          <w:rFonts w:ascii="Arial" w:hAnsi="Arial" w:cs="Arial"/>
        </w:rPr>
        <w:t>C y Empresa Eléctrica Regional El Oro</w:t>
      </w:r>
      <w:r w:rsidR="00257403" w:rsidRPr="00A779DD">
        <w:rPr>
          <w:rFonts w:ascii="Arial" w:hAnsi="Arial" w:cs="Arial"/>
        </w:rPr>
        <w:t>.</w:t>
      </w:r>
    </w:p>
    <w:p w:rsidR="00F53445" w:rsidRPr="00A779DD" w:rsidRDefault="00F53445" w:rsidP="00257403">
      <w:pPr>
        <w:spacing w:line="480" w:lineRule="auto"/>
        <w:jc w:val="both"/>
        <w:rPr>
          <w:rFonts w:ascii="Arial" w:hAnsi="Arial" w:cs="Arial"/>
        </w:rPr>
      </w:pPr>
    </w:p>
    <w:p w:rsidR="00F53445" w:rsidRPr="00A779DD" w:rsidRDefault="00442BFE" w:rsidP="00257403">
      <w:pPr>
        <w:spacing w:line="480" w:lineRule="auto"/>
        <w:jc w:val="both"/>
        <w:rPr>
          <w:rFonts w:ascii="Arial" w:hAnsi="Arial" w:cs="Arial"/>
        </w:rPr>
      </w:pPr>
      <w:r w:rsidRPr="00A779DD">
        <w:rPr>
          <w:rFonts w:ascii="Arial" w:hAnsi="Arial" w:cs="Arial"/>
        </w:rPr>
        <w:t>Una vez obtenidas las tarifas para cada generador</w:t>
      </w:r>
      <w:r w:rsidR="0063298D" w:rsidRPr="00A779DD">
        <w:rPr>
          <w:rStyle w:val="Refdenotaalpie"/>
          <w:rFonts w:ascii="Arial" w:hAnsi="Arial" w:cs="Arial"/>
        </w:rPr>
        <w:footnoteReference w:id="12"/>
      </w:r>
      <w:r w:rsidR="007F5006" w:rsidRPr="00A779DD">
        <w:rPr>
          <w:rFonts w:ascii="Arial" w:hAnsi="Arial" w:cs="Arial"/>
        </w:rPr>
        <w:t xml:space="preserve"> </w:t>
      </w:r>
      <w:r w:rsidR="00F53445" w:rsidRPr="00A779DD">
        <w:rPr>
          <w:rFonts w:ascii="Arial" w:hAnsi="Arial" w:cs="Arial"/>
        </w:rPr>
        <w:t xml:space="preserve"> se procede a calcular los ingresos del proyecto</w:t>
      </w:r>
      <w:r w:rsidR="0063298D" w:rsidRPr="00A779DD">
        <w:rPr>
          <w:rStyle w:val="Refdenotaalpie"/>
          <w:rFonts w:ascii="Arial" w:hAnsi="Arial" w:cs="Arial"/>
        </w:rPr>
        <w:footnoteReference w:id="13"/>
      </w:r>
      <w:r w:rsidR="00F53445" w:rsidRPr="00A779DD">
        <w:rPr>
          <w:rFonts w:ascii="Arial" w:hAnsi="Arial" w:cs="Arial"/>
        </w:rPr>
        <w:t xml:space="preserve">. Los Generadores Comunes y Especiales  consideran para su proyección la tasa de crecimiento promedio poblacional </w:t>
      </w:r>
      <w:r w:rsidR="007F5006" w:rsidRPr="00A779DD">
        <w:rPr>
          <w:rFonts w:ascii="Arial" w:hAnsi="Arial" w:cs="Arial"/>
        </w:rPr>
        <w:t>del 2.7%  anual, y</w:t>
      </w:r>
      <w:r w:rsidR="00F53445" w:rsidRPr="00A779DD">
        <w:rPr>
          <w:rFonts w:ascii="Arial" w:hAnsi="Arial" w:cs="Arial"/>
        </w:rPr>
        <w:t xml:space="preserve"> en el caso de los Generadores de Desechos Peligrosos se estima un crecimiento aritmético de 1 establecimiento cada 5 años.</w:t>
      </w:r>
    </w:p>
    <w:p w:rsidR="00A31420" w:rsidRDefault="00A31420" w:rsidP="00EF014E">
      <w:pPr>
        <w:jc w:val="both"/>
        <w:rPr>
          <w:rFonts w:ascii="Arial" w:hAnsi="Arial" w:cs="Arial"/>
          <w:sz w:val="28"/>
          <w:szCs w:val="28"/>
        </w:rPr>
      </w:pPr>
    </w:p>
    <w:p w:rsidR="00F62682" w:rsidRPr="00A31420" w:rsidRDefault="00F62682" w:rsidP="00EF014E">
      <w:pPr>
        <w:jc w:val="both"/>
        <w:rPr>
          <w:rFonts w:ascii="Arial" w:hAnsi="Arial" w:cs="Arial"/>
          <w:b/>
          <w:sz w:val="28"/>
          <w:szCs w:val="28"/>
        </w:rPr>
      </w:pPr>
      <w:r w:rsidRPr="00A31420">
        <w:rPr>
          <w:rFonts w:ascii="Arial" w:hAnsi="Arial" w:cs="Arial"/>
          <w:b/>
          <w:sz w:val="28"/>
          <w:szCs w:val="28"/>
        </w:rPr>
        <w:t>5.4</w:t>
      </w:r>
      <w:r w:rsidRPr="00A31420">
        <w:rPr>
          <w:rFonts w:ascii="Arial" w:hAnsi="Arial" w:cs="Arial"/>
          <w:b/>
          <w:sz w:val="28"/>
          <w:szCs w:val="28"/>
        </w:rPr>
        <w:tab/>
        <w:t>ESTADO DE FLUJO DE EFECTIVO</w:t>
      </w:r>
    </w:p>
    <w:p w:rsidR="00F62682" w:rsidRPr="00A779DD" w:rsidRDefault="00F62682" w:rsidP="00EF014E">
      <w:pPr>
        <w:jc w:val="both"/>
        <w:rPr>
          <w:rFonts w:ascii="Arial" w:hAnsi="Arial" w:cs="Arial"/>
          <w:sz w:val="28"/>
          <w:szCs w:val="28"/>
        </w:rPr>
      </w:pPr>
    </w:p>
    <w:p w:rsidR="00161F0A" w:rsidRPr="00A779DD" w:rsidRDefault="00161F0A" w:rsidP="002C02E8">
      <w:pPr>
        <w:spacing w:line="480" w:lineRule="auto"/>
        <w:jc w:val="both"/>
        <w:rPr>
          <w:rFonts w:ascii="Arial" w:hAnsi="Arial" w:cs="Arial"/>
        </w:rPr>
      </w:pPr>
    </w:p>
    <w:p w:rsidR="002C02E8" w:rsidRPr="00A779DD" w:rsidRDefault="002C02E8" w:rsidP="002C02E8">
      <w:pPr>
        <w:spacing w:line="480" w:lineRule="auto"/>
        <w:jc w:val="both"/>
        <w:rPr>
          <w:rFonts w:ascii="Arial" w:hAnsi="Arial" w:cs="Arial"/>
        </w:rPr>
      </w:pPr>
      <w:r w:rsidRPr="00A779DD">
        <w:rPr>
          <w:rFonts w:ascii="Arial" w:hAnsi="Arial" w:cs="Arial"/>
        </w:rPr>
        <w:t>Dentro del Estado de Flujo de Efectivo</w:t>
      </w:r>
      <w:r w:rsidRPr="00A779DD">
        <w:rPr>
          <w:rStyle w:val="Refdenotaalpie"/>
          <w:rFonts w:ascii="Arial" w:hAnsi="Arial" w:cs="Arial"/>
        </w:rPr>
        <w:footnoteReference w:id="14"/>
      </w:r>
      <w:r w:rsidRPr="00A779DD">
        <w:rPr>
          <w:rFonts w:ascii="Arial" w:hAnsi="Arial" w:cs="Arial"/>
        </w:rPr>
        <w:t xml:space="preserve"> se describe los ingresos y pagos </w:t>
      </w:r>
      <w:r w:rsidR="007F5006" w:rsidRPr="00A779DD">
        <w:rPr>
          <w:rFonts w:ascii="Arial" w:hAnsi="Arial" w:cs="Arial"/>
        </w:rPr>
        <w:t>en</w:t>
      </w:r>
      <w:r w:rsidRPr="00A779DD">
        <w:rPr>
          <w:rFonts w:ascii="Arial" w:hAnsi="Arial" w:cs="Arial"/>
        </w:rPr>
        <w:t xml:space="preserve"> efectivo generados por el proyecto durante los </w:t>
      </w:r>
      <w:r w:rsidR="0063298D" w:rsidRPr="00A779DD">
        <w:rPr>
          <w:rFonts w:ascii="Arial" w:hAnsi="Arial" w:cs="Arial"/>
        </w:rPr>
        <w:t>1</w:t>
      </w:r>
      <w:r w:rsidRPr="00A779DD">
        <w:rPr>
          <w:rFonts w:ascii="Arial" w:hAnsi="Arial" w:cs="Arial"/>
        </w:rPr>
        <w:t>0 años de estudio.</w:t>
      </w:r>
    </w:p>
    <w:p w:rsidR="002C02E8" w:rsidRPr="00A779DD" w:rsidRDefault="002C02E8" w:rsidP="002C02E8">
      <w:pPr>
        <w:spacing w:line="480" w:lineRule="auto"/>
        <w:jc w:val="both"/>
        <w:rPr>
          <w:rFonts w:ascii="Arial" w:hAnsi="Arial" w:cs="Arial"/>
        </w:rPr>
      </w:pPr>
    </w:p>
    <w:p w:rsidR="002C02E8" w:rsidRPr="00A779DD" w:rsidRDefault="002C02E8" w:rsidP="002C02E8">
      <w:pPr>
        <w:spacing w:line="480" w:lineRule="auto"/>
        <w:jc w:val="both"/>
        <w:rPr>
          <w:rFonts w:ascii="Arial" w:hAnsi="Arial" w:cs="Arial"/>
        </w:rPr>
      </w:pPr>
      <w:r w:rsidRPr="00A779DD">
        <w:rPr>
          <w:rFonts w:ascii="Arial" w:hAnsi="Arial" w:cs="Arial"/>
        </w:rPr>
        <w:t>Los Ingresos Operacionales considerados dentro</w:t>
      </w:r>
      <w:r w:rsidR="00161F0A" w:rsidRPr="00A779DD">
        <w:rPr>
          <w:rFonts w:ascii="Arial" w:hAnsi="Arial" w:cs="Arial"/>
        </w:rPr>
        <w:t xml:space="preserve"> del proyecto son los Ingresos o</w:t>
      </w:r>
      <w:r w:rsidRPr="00A779DD">
        <w:rPr>
          <w:rFonts w:ascii="Arial" w:hAnsi="Arial" w:cs="Arial"/>
        </w:rPr>
        <w:t>btenidos por el Cobro</w:t>
      </w:r>
      <w:r w:rsidR="00485739">
        <w:rPr>
          <w:rFonts w:ascii="Arial" w:hAnsi="Arial" w:cs="Arial"/>
        </w:rPr>
        <w:t xml:space="preserve"> de la Tasa de Recolección de </w:t>
      </w:r>
      <w:r w:rsidRPr="00A779DD">
        <w:rPr>
          <w:rFonts w:ascii="Arial" w:hAnsi="Arial" w:cs="Arial"/>
        </w:rPr>
        <w:t xml:space="preserve"> Basura.</w:t>
      </w:r>
      <w:r w:rsidR="0063298D" w:rsidRPr="00A779DD">
        <w:rPr>
          <w:rFonts w:ascii="Arial" w:hAnsi="Arial" w:cs="Arial"/>
        </w:rPr>
        <w:t xml:space="preserve">   </w:t>
      </w:r>
      <w:r w:rsidRPr="00A779DD">
        <w:rPr>
          <w:rFonts w:ascii="Arial" w:hAnsi="Arial" w:cs="Arial"/>
        </w:rPr>
        <w:t>En el Cobro de la Tasa de Reco</w:t>
      </w:r>
      <w:r w:rsidR="0063298D" w:rsidRPr="00A779DD">
        <w:rPr>
          <w:rFonts w:ascii="Arial" w:hAnsi="Arial" w:cs="Arial"/>
        </w:rPr>
        <w:t>lección de la Basura  se utilizó</w:t>
      </w:r>
      <w:r w:rsidRPr="00A779DD">
        <w:rPr>
          <w:rFonts w:ascii="Arial" w:hAnsi="Arial" w:cs="Arial"/>
        </w:rPr>
        <w:t xml:space="preserve"> como variable el crecimiento de la población</w:t>
      </w:r>
      <w:r w:rsidR="00D57641" w:rsidRPr="00A779DD">
        <w:rPr>
          <w:rFonts w:ascii="Arial" w:hAnsi="Arial" w:cs="Arial"/>
        </w:rPr>
        <w:t xml:space="preserve"> de los 3 cantones, y una tasa de inflación del 3.5%</w:t>
      </w:r>
      <w:r w:rsidR="00D57641" w:rsidRPr="00A779DD">
        <w:rPr>
          <w:rStyle w:val="Refdenotaalpie"/>
          <w:rFonts w:ascii="Arial" w:hAnsi="Arial" w:cs="Arial"/>
        </w:rPr>
        <w:footnoteReference w:id="15"/>
      </w:r>
      <w:r w:rsidR="00D57641" w:rsidRPr="00A779DD">
        <w:rPr>
          <w:rFonts w:ascii="Arial" w:hAnsi="Arial" w:cs="Arial"/>
        </w:rPr>
        <w:t xml:space="preserve"> anual. </w:t>
      </w:r>
    </w:p>
    <w:p w:rsidR="00D57641" w:rsidRPr="00A779DD" w:rsidRDefault="00D57641" w:rsidP="002C02E8">
      <w:pPr>
        <w:spacing w:line="480" w:lineRule="auto"/>
        <w:jc w:val="both"/>
        <w:rPr>
          <w:rFonts w:ascii="Arial" w:hAnsi="Arial" w:cs="Arial"/>
        </w:rPr>
      </w:pPr>
    </w:p>
    <w:p w:rsidR="008E5DBE" w:rsidRPr="00A779DD" w:rsidRDefault="00D57641" w:rsidP="002C02E8">
      <w:pPr>
        <w:spacing w:line="480" w:lineRule="auto"/>
        <w:jc w:val="both"/>
        <w:rPr>
          <w:rFonts w:ascii="Arial" w:hAnsi="Arial" w:cs="Arial"/>
        </w:rPr>
      </w:pPr>
      <w:r w:rsidRPr="00A779DD">
        <w:rPr>
          <w:rFonts w:ascii="Arial" w:hAnsi="Arial" w:cs="Arial"/>
        </w:rPr>
        <w:t xml:space="preserve">Dentro de los </w:t>
      </w:r>
      <w:r w:rsidR="00F307BC" w:rsidRPr="00A779DD">
        <w:rPr>
          <w:rFonts w:ascii="Arial" w:hAnsi="Arial" w:cs="Arial"/>
        </w:rPr>
        <w:t xml:space="preserve">Costos Directos </w:t>
      </w:r>
      <w:r w:rsidR="00161F0A" w:rsidRPr="00A779DD">
        <w:rPr>
          <w:rFonts w:ascii="Arial" w:hAnsi="Arial" w:cs="Arial"/>
        </w:rPr>
        <w:t xml:space="preserve"> se consideró: </w:t>
      </w:r>
      <w:r w:rsidR="008E5DBE" w:rsidRPr="00A779DD">
        <w:rPr>
          <w:rFonts w:ascii="Arial" w:hAnsi="Arial" w:cs="Arial"/>
        </w:rPr>
        <w:t xml:space="preserve">pagos </w:t>
      </w:r>
      <w:r w:rsidR="00161F0A" w:rsidRPr="00A779DD">
        <w:rPr>
          <w:rFonts w:ascii="Arial" w:hAnsi="Arial" w:cs="Arial"/>
        </w:rPr>
        <w:t xml:space="preserve">por </w:t>
      </w:r>
      <w:r w:rsidR="008E5DBE" w:rsidRPr="00A779DD">
        <w:rPr>
          <w:rFonts w:ascii="Arial" w:hAnsi="Arial" w:cs="Arial"/>
        </w:rPr>
        <w:t>Mano de Obra</w:t>
      </w:r>
      <w:r w:rsidRPr="00A779DD">
        <w:rPr>
          <w:rFonts w:ascii="Arial" w:hAnsi="Arial" w:cs="Arial"/>
        </w:rPr>
        <w:t>,</w:t>
      </w:r>
      <w:r w:rsidR="008E5DBE" w:rsidRPr="00A779DD">
        <w:rPr>
          <w:rFonts w:ascii="Arial" w:hAnsi="Arial" w:cs="Arial"/>
        </w:rPr>
        <w:t xml:space="preserve"> Equipos de Protección Personal,</w:t>
      </w:r>
      <w:r w:rsidRPr="00A779DD">
        <w:rPr>
          <w:rFonts w:ascii="Arial" w:hAnsi="Arial" w:cs="Arial"/>
        </w:rPr>
        <w:t xml:space="preserve"> Herramientas e Implementos, </w:t>
      </w:r>
      <w:r w:rsidR="008E5DBE" w:rsidRPr="00A779DD">
        <w:rPr>
          <w:rFonts w:ascii="Arial" w:hAnsi="Arial" w:cs="Arial"/>
        </w:rPr>
        <w:t>Equipos, Vehículo y Maquinaria</w:t>
      </w:r>
      <w:r w:rsidR="00161F0A" w:rsidRPr="00A779DD">
        <w:rPr>
          <w:rFonts w:ascii="Arial" w:hAnsi="Arial" w:cs="Arial"/>
        </w:rPr>
        <w:t xml:space="preserve"> </w:t>
      </w:r>
      <w:r w:rsidR="008E5DBE" w:rsidRPr="00A779DD">
        <w:rPr>
          <w:rFonts w:ascii="Arial" w:hAnsi="Arial" w:cs="Arial"/>
        </w:rPr>
        <w:t xml:space="preserve"> para cada una de las actividades. </w:t>
      </w:r>
    </w:p>
    <w:p w:rsidR="008E5DBE" w:rsidRPr="00A779DD" w:rsidRDefault="008E5DBE" w:rsidP="002C02E8">
      <w:pPr>
        <w:spacing w:line="480" w:lineRule="auto"/>
        <w:jc w:val="both"/>
        <w:rPr>
          <w:rFonts w:ascii="Arial" w:hAnsi="Arial" w:cs="Arial"/>
        </w:rPr>
      </w:pPr>
    </w:p>
    <w:p w:rsidR="009D060B" w:rsidRPr="00A779DD" w:rsidRDefault="008E5DBE" w:rsidP="002C02E8">
      <w:pPr>
        <w:spacing w:line="480" w:lineRule="auto"/>
        <w:jc w:val="both"/>
        <w:rPr>
          <w:rFonts w:ascii="Arial" w:hAnsi="Arial" w:cs="Arial"/>
        </w:rPr>
      </w:pPr>
      <w:r w:rsidRPr="00A779DD">
        <w:rPr>
          <w:rFonts w:ascii="Arial" w:hAnsi="Arial" w:cs="Arial"/>
        </w:rPr>
        <w:t>Por otro lado los Costos Indirecto</w:t>
      </w:r>
      <w:r w:rsidR="009D060B" w:rsidRPr="00A779DD">
        <w:rPr>
          <w:rFonts w:ascii="Arial" w:hAnsi="Arial" w:cs="Arial"/>
        </w:rPr>
        <w:t>s</w:t>
      </w:r>
      <w:r w:rsidRPr="00A779DD">
        <w:rPr>
          <w:rFonts w:ascii="Arial" w:hAnsi="Arial" w:cs="Arial"/>
        </w:rPr>
        <w:t xml:space="preserve"> </w:t>
      </w:r>
      <w:r w:rsidR="009D060B" w:rsidRPr="00A779DD">
        <w:rPr>
          <w:rFonts w:ascii="Arial" w:hAnsi="Arial" w:cs="Arial"/>
        </w:rPr>
        <w:t xml:space="preserve">están compuestos por Administrativos e Imprevistos. Los Administrativos representan el 3% de los Costos Directos y los Imprevistos el </w:t>
      </w:r>
      <w:r w:rsidR="0063298D" w:rsidRPr="00A779DD">
        <w:rPr>
          <w:rFonts w:ascii="Arial" w:hAnsi="Arial" w:cs="Arial"/>
        </w:rPr>
        <w:t>2% de los mismos</w:t>
      </w:r>
      <w:r w:rsidR="009D060B" w:rsidRPr="00A779DD">
        <w:rPr>
          <w:rFonts w:ascii="Arial" w:hAnsi="Arial" w:cs="Arial"/>
        </w:rPr>
        <w:t>.</w:t>
      </w:r>
    </w:p>
    <w:p w:rsidR="0063298D" w:rsidRPr="00A779DD" w:rsidRDefault="0063298D" w:rsidP="002C02E8">
      <w:pPr>
        <w:spacing w:line="480" w:lineRule="auto"/>
        <w:jc w:val="both"/>
        <w:rPr>
          <w:rFonts w:ascii="Arial" w:hAnsi="Arial" w:cs="Arial"/>
        </w:rPr>
      </w:pPr>
    </w:p>
    <w:p w:rsidR="00A31420" w:rsidRDefault="00A31420" w:rsidP="002C02E8">
      <w:pPr>
        <w:spacing w:line="480" w:lineRule="auto"/>
        <w:jc w:val="both"/>
        <w:rPr>
          <w:rFonts w:ascii="Arial" w:hAnsi="Arial" w:cs="Arial"/>
        </w:rPr>
      </w:pPr>
    </w:p>
    <w:p w:rsidR="0063298D" w:rsidRPr="00A779DD" w:rsidRDefault="0063298D" w:rsidP="002C02E8">
      <w:pPr>
        <w:spacing w:line="480" w:lineRule="auto"/>
        <w:jc w:val="both"/>
        <w:rPr>
          <w:rFonts w:ascii="Arial" w:hAnsi="Arial" w:cs="Arial"/>
        </w:rPr>
      </w:pPr>
      <w:r w:rsidRPr="00A779DD">
        <w:rPr>
          <w:rFonts w:ascii="Arial" w:hAnsi="Arial" w:cs="Arial"/>
        </w:rPr>
        <w:t xml:space="preserve">También se considera </w:t>
      </w:r>
      <w:r w:rsidR="00161F0A" w:rsidRPr="00A779DD">
        <w:rPr>
          <w:rFonts w:ascii="Arial" w:hAnsi="Arial" w:cs="Arial"/>
        </w:rPr>
        <w:t>O</w:t>
      </w:r>
      <w:r w:rsidRPr="00A779DD">
        <w:rPr>
          <w:rFonts w:ascii="Arial" w:hAnsi="Arial" w:cs="Arial"/>
        </w:rPr>
        <w:t xml:space="preserve">tros Costos, los cuales representan  la reparación de los vehículos </w:t>
      </w:r>
      <w:r w:rsidR="00190AD5" w:rsidRPr="00A779DD">
        <w:rPr>
          <w:rFonts w:ascii="Arial" w:hAnsi="Arial" w:cs="Arial"/>
        </w:rPr>
        <w:t xml:space="preserve">y maquinarias depreciados en su totalidad </w:t>
      </w:r>
      <w:r w:rsidRPr="00A779DD">
        <w:rPr>
          <w:rFonts w:ascii="Arial" w:hAnsi="Arial" w:cs="Arial"/>
        </w:rPr>
        <w:t>en el año</w:t>
      </w:r>
      <w:r w:rsidR="00190AD5" w:rsidRPr="00A779DD">
        <w:rPr>
          <w:rFonts w:ascii="Arial" w:hAnsi="Arial" w:cs="Arial"/>
        </w:rPr>
        <w:t xml:space="preserve"> 2013 y </w:t>
      </w:r>
      <w:r w:rsidR="00161F0A" w:rsidRPr="00A779DD">
        <w:rPr>
          <w:rFonts w:ascii="Arial" w:hAnsi="Arial" w:cs="Arial"/>
        </w:rPr>
        <w:t xml:space="preserve">2015, </w:t>
      </w:r>
      <w:r w:rsidR="00190AD5" w:rsidRPr="00A779DD">
        <w:rPr>
          <w:rFonts w:ascii="Arial" w:hAnsi="Arial" w:cs="Arial"/>
        </w:rPr>
        <w:t xml:space="preserve"> lo que permiti</w:t>
      </w:r>
      <w:r w:rsidR="00161F0A" w:rsidRPr="00A779DD">
        <w:rPr>
          <w:rFonts w:ascii="Arial" w:hAnsi="Arial" w:cs="Arial"/>
        </w:rPr>
        <w:t>rá prolongar su uso 3 años más;</w:t>
      </w:r>
      <w:r w:rsidR="00190AD5" w:rsidRPr="00A779DD">
        <w:rPr>
          <w:rFonts w:ascii="Arial" w:hAnsi="Arial" w:cs="Arial"/>
        </w:rPr>
        <w:t xml:space="preserve"> </w:t>
      </w:r>
      <w:r w:rsidR="00161F0A" w:rsidRPr="00A779DD">
        <w:rPr>
          <w:rFonts w:ascii="Arial" w:hAnsi="Arial" w:cs="Arial"/>
        </w:rPr>
        <w:t>e</w:t>
      </w:r>
      <w:r w:rsidR="00451E84" w:rsidRPr="00A779DD">
        <w:rPr>
          <w:rFonts w:ascii="Arial" w:hAnsi="Arial" w:cs="Arial"/>
        </w:rPr>
        <w:t>stos costos se detallan a continuación:</w:t>
      </w:r>
    </w:p>
    <w:p w:rsidR="007A2653" w:rsidRPr="00A779DD" w:rsidRDefault="007A2653" w:rsidP="007A2653">
      <w:pPr>
        <w:spacing w:line="480" w:lineRule="auto"/>
        <w:jc w:val="both"/>
        <w:rPr>
          <w:rFonts w:ascii="Arial" w:hAnsi="Arial" w:cs="Arial"/>
        </w:rPr>
      </w:pPr>
    </w:p>
    <w:p w:rsidR="007A2653" w:rsidRDefault="007A2653" w:rsidP="007A2653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TABLA 5.4: costos de reparación</w:t>
      </w:r>
    </w:p>
    <w:p w:rsidR="007A2653" w:rsidRDefault="007A2653" w:rsidP="007A2653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tbl>
      <w:tblPr>
        <w:tblW w:w="9073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1985"/>
        <w:gridCol w:w="1440"/>
        <w:gridCol w:w="996"/>
        <w:gridCol w:w="1218"/>
        <w:gridCol w:w="1391"/>
        <w:gridCol w:w="996"/>
        <w:gridCol w:w="1047"/>
      </w:tblGrid>
      <w:tr w:rsidR="00DE7676" w:rsidRPr="00A779DD">
        <w:trPr>
          <w:trHeight w:val="321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E7676" w:rsidRPr="00A779DD" w:rsidRDefault="00DE7676">
            <w:pPr>
              <w:jc w:val="center"/>
              <w:rPr>
                <w:rFonts w:ascii="Arial" w:hAnsi="Arial" w:cs="Arial"/>
                <w:b/>
                <w:bCs/>
              </w:rPr>
            </w:pPr>
            <w:r w:rsidRPr="00A779DD">
              <w:rPr>
                <w:rFonts w:ascii="Arial" w:hAnsi="Arial" w:cs="Arial"/>
                <w:b/>
                <w:bCs/>
              </w:rPr>
              <w:t>Costos de Reparación</w:t>
            </w:r>
          </w:p>
        </w:tc>
      </w:tr>
      <w:tr w:rsidR="00DE7676" w:rsidRPr="00A779DD">
        <w:trPr>
          <w:trHeight w:val="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676" w:rsidRPr="00A779DD" w:rsidRDefault="00DE7676">
            <w:pPr>
              <w:rPr>
                <w:rFonts w:ascii="Arial" w:hAnsi="Arial" w:cs="Arial"/>
                <w:sz w:val="20"/>
                <w:szCs w:val="20"/>
              </w:rPr>
            </w:pPr>
            <w:r w:rsidRPr="00A779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E7676" w:rsidRPr="00A779DD" w:rsidRDefault="00DE7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79DD">
              <w:rPr>
                <w:rFonts w:ascii="Arial" w:hAnsi="Arial" w:cs="Arial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E7676" w:rsidRPr="00A779DD" w:rsidRDefault="00DE7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79DD"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</w:tr>
      <w:tr w:rsidR="00451E84" w:rsidRPr="00A779DD">
        <w:trPr>
          <w:trHeight w:val="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676" w:rsidRPr="00A779DD" w:rsidRDefault="00DE7676">
            <w:pPr>
              <w:rPr>
                <w:rFonts w:ascii="Arial" w:hAnsi="Arial" w:cs="Arial"/>
                <w:sz w:val="20"/>
                <w:szCs w:val="20"/>
              </w:rPr>
            </w:pPr>
            <w:r w:rsidRPr="00A779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E7676" w:rsidRPr="00A779DD" w:rsidRDefault="00DE76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79DD">
              <w:rPr>
                <w:rFonts w:ascii="Arial" w:hAnsi="Arial" w:cs="Arial"/>
                <w:b/>
                <w:bCs/>
                <w:sz w:val="20"/>
                <w:szCs w:val="20"/>
              </w:rPr>
              <w:t>Cto. Unitario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E7676" w:rsidRPr="00A779DD" w:rsidRDefault="00DE76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79DD">
              <w:rPr>
                <w:rFonts w:ascii="Arial" w:hAnsi="Arial" w:cs="Arial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E7676" w:rsidRPr="00A779DD" w:rsidRDefault="00DE76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79DD">
              <w:rPr>
                <w:rFonts w:ascii="Arial" w:hAnsi="Arial" w:cs="Arial"/>
                <w:b/>
                <w:bCs/>
                <w:sz w:val="20"/>
                <w:szCs w:val="20"/>
              </w:rPr>
              <w:t>Cto. Total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E7676" w:rsidRPr="00A779DD" w:rsidRDefault="00DE76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79DD">
              <w:rPr>
                <w:rFonts w:ascii="Arial" w:hAnsi="Arial" w:cs="Arial"/>
                <w:b/>
                <w:bCs/>
                <w:sz w:val="20"/>
                <w:szCs w:val="20"/>
              </w:rPr>
              <w:t>Cto. Unitario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E7676" w:rsidRPr="00A779DD" w:rsidRDefault="00DE76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79DD">
              <w:rPr>
                <w:rFonts w:ascii="Arial" w:hAnsi="Arial" w:cs="Arial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E7676" w:rsidRPr="00A779DD" w:rsidRDefault="00DE76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79DD">
              <w:rPr>
                <w:rFonts w:ascii="Arial" w:hAnsi="Arial" w:cs="Arial"/>
                <w:b/>
                <w:bCs/>
                <w:sz w:val="20"/>
                <w:szCs w:val="20"/>
              </w:rPr>
              <w:t>Cto. Total</w:t>
            </w:r>
          </w:p>
        </w:tc>
      </w:tr>
      <w:tr w:rsidR="00451E84" w:rsidRPr="00A779DD">
        <w:trPr>
          <w:trHeight w:val="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676" w:rsidRPr="00A779DD" w:rsidRDefault="00DE7676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Vehículo Carga Frontal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676" w:rsidRPr="00A779DD" w:rsidRDefault="00DE7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$ 2.337,81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676" w:rsidRPr="00A779DD" w:rsidRDefault="00DE76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676" w:rsidRPr="00A779DD" w:rsidRDefault="00DE7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$ 7.013,44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676" w:rsidRPr="00A779DD" w:rsidRDefault="00DE7676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676" w:rsidRPr="00A779DD" w:rsidRDefault="00DE7676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676" w:rsidRPr="00A779DD" w:rsidRDefault="00DE7676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1E84" w:rsidRPr="00A779DD">
        <w:trPr>
          <w:trHeight w:val="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676" w:rsidRPr="00A779DD" w:rsidRDefault="00451E84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Vehículo</w:t>
            </w:r>
            <w:r w:rsidR="00DE7676" w:rsidRPr="00A779DD">
              <w:rPr>
                <w:rFonts w:ascii="Arial" w:hAnsi="Arial" w:cs="Arial"/>
                <w:sz w:val="16"/>
                <w:szCs w:val="16"/>
              </w:rPr>
              <w:t xml:space="preserve"> Carga Posterior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676" w:rsidRPr="00A779DD" w:rsidRDefault="00DE7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$ 1.335,89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676" w:rsidRPr="00A779DD" w:rsidRDefault="00DE76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676" w:rsidRPr="00A779DD" w:rsidRDefault="00DE7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$ 5.343,57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676" w:rsidRPr="00A779DD" w:rsidRDefault="00DE7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$ 1.335,89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676" w:rsidRPr="00A779DD" w:rsidRDefault="00DE76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676" w:rsidRPr="00A779DD" w:rsidRDefault="00DE7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$ 1.335,89</w:t>
            </w:r>
          </w:p>
        </w:tc>
      </w:tr>
      <w:tr w:rsidR="00451E84" w:rsidRPr="00A779DD">
        <w:trPr>
          <w:trHeight w:val="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676" w:rsidRPr="00A779DD" w:rsidRDefault="00DE7676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Volqueta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676" w:rsidRPr="00A779DD" w:rsidRDefault="00DE7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$ 1.010,86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676" w:rsidRPr="00A779DD" w:rsidRDefault="00DE76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676" w:rsidRPr="00A779DD" w:rsidRDefault="00DE7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$ 1.010,86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676" w:rsidRPr="00A779DD" w:rsidRDefault="00DE7676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676" w:rsidRPr="00A779DD" w:rsidRDefault="00DE7676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676" w:rsidRPr="00A779DD" w:rsidRDefault="00DE7676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1E84" w:rsidRPr="00A779DD">
        <w:trPr>
          <w:trHeight w:val="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676" w:rsidRPr="00A779DD" w:rsidRDefault="00DE7676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Tractor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676" w:rsidRPr="00A779DD" w:rsidRDefault="00DE7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$ 820,02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676" w:rsidRPr="00A779DD" w:rsidRDefault="00DE76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676" w:rsidRPr="00A779DD" w:rsidRDefault="00DE7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$ 820,02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676" w:rsidRPr="00A779DD" w:rsidRDefault="00DE7676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676" w:rsidRPr="00A779DD" w:rsidRDefault="00DE7676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676" w:rsidRPr="00A779DD" w:rsidRDefault="00DE7676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1E84" w:rsidRPr="00A779DD">
        <w:trPr>
          <w:trHeight w:val="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676" w:rsidRPr="00A779DD" w:rsidRDefault="00DE7676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Retroexcavadora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676" w:rsidRPr="00A779DD" w:rsidRDefault="00DE7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$ 1.235,99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676" w:rsidRPr="00A779DD" w:rsidRDefault="00DE76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676" w:rsidRPr="00A779DD" w:rsidRDefault="00DE7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$ 1.235,99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676" w:rsidRPr="00A779DD" w:rsidRDefault="00DE7676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676" w:rsidRPr="00A779DD" w:rsidRDefault="00DE7676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676" w:rsidRPr="00A779DD" w:rsidRDefault="00DE7676">
            <w:pPr>
              <w:rPr>
                <w:rFonts w:ascii="Arial" w:hAnsi="Arial" w:cs="Arial"/>
                <w:sz w:val="16"/>
                <w:szCs w:val="16"/>
              </w:rPr>
            </w:pPr>
            <w:r w:rsidRPr="00A779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1E84" w:rsidRPr="00A779DD">
        <w:trPr>
          <w:trHeight w:val="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E7676" w:rsidRPr="00A779DD" w:rsidRDefault="00DE76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79DD">
              <w:rPr>
                <w:rFonts w:ascii="Arial" w:hAnsi="Arial" w:cs="Arial"/>
                <w:b/>
                <w:sz w:val="16"/>
                <w:szCs w:val="16"/>
              </w:rPr>
              <w:t>Costos Totales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E7676" w:rsidRPr="00A779DD" w:rsidRDefault="00DE76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79DD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E7676" w:rsidRPr="00A779DD" w:rsidRDefault="00DE76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79DD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E7676" w:rsidRPr="00A779DD" w:rsidRDefault="00DE76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79DD">
              <w:rPr>
                <w:rFonts w:ascii="Arial" w:hAnsi="Arial" w:cs="Arial"/>
                <w:b/>
                <w:sz w:val="16"/>
                <w:szCs w:val="16"/>
              </w:rPr>
              <w:t>$ 15.423,89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E7676" w:rsidRPr="00A779DD" w:rsidRDefault="00DE76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79DD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E7676" w:rsidRPr="00A779DD" w:rsidRDefault="00DE76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79DD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E7676" w:rsidRPr="00A779DD" w:rsidRDefault="00DE76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79DD">
              <w:rPr>
                <w:rFonts w:ascii="Arial" w:hAnsi="Arial" w:cs="Arial"/>
                <w:b/>
                <w:sz w:val="16"/>
                <w:szCs w:val="16"/>
              </w:rPr>
              <w:t>$ 1.335,89</w:t>
            </w:r>
          </w:p>
        </w:tc>
      </w:tr>
    </w:tbl>
    <w:p w:rsidR="00B678FE" w:rsidRDefault="00B678FE" w:rsidP="00B678FE">
      <w:pPr>
        <w:jc w:val="center"/>
        <w:rPr>
          <w:rFonts w:ascii="Arial" w:hAnsi="Arial" w:cs="Arial"/>
          <w:b/>
          <w:sz w:val="16"/>
          <w:szCs w:val="16"/>
        </w:rPr>
      </w:pPr>
    </w:p>
    <w:p w:rsidR="00B678FE" w:rsidRPr="007A2653" w:rsidRDefault="00B678FE" w:rsidP="00B678FE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Elaborado por los autora</w:t>
      </w:r>
      <w:r w:rsidRPr="007A2653">
        <w:rPr>
          <w:rFonts w:ascii="Arial" w:hAnsi="Arial" w:cs="Arial"/>
          <w:b/>
          <w:sz w:val="16"/>
          <w:szCs w:val="16"/>
        </w:rPr>
        <w:t>s</w:t>
      </w:r>
    </w:p>
    <w:p w:rsidR="00B678FE" w:rsidRPr="00A779DD" w:rsidRDefault="00B678FE" w:rsidP="00B678FE">
      <w:pPr>
        <w:jc w:val="center"/>
        <w:rPr>
          <w:rFonts w:ascii="Arial" w:hAnsi="Arial" w:cs="Arial"/>
        </w:rPr>
      </w:pPr>
    </w:p>
    <w:p w:rsidR="009D060B" w:rsidRPr="00A779DD" w:rsidRDefault="009D060B" w:rsidP="002C02E8">
      <w:pPr>
        <w:spacing w:line="480" w:lineRule="auto"/>
        <w:jc w:val="both"/>
        <w:rPr>
          <w:rFonts w:ascii="Arial" w:hAnsi="Arial" w:cs="Arial"/>
          <w:b/>
        </w:rPr>
      </w:pPr>
    </w:p>
    <w:p w:rsidR="00D35793" w:rsidRPr="00A779DD" w:rsidRDefault="009D060B" w:rsidP="002C02E8">
      <w:pPr>
        <w:spacing w:line="480" w:lineRule="auto"/>
        <w:jc w:val="both"/>
        <w:rPr>
          <w:rFonts w:ascii="Arial" w:hAnsi="Arial" w:cs="Arial"/>
        </w:rPr>
      </w:pPr>
      <w:r w:rsidRPr="00A779DD">
        <w:rPr>
          <w:rFonts w:ascii="Arial" w:hAnsi="Arial" w:cs="Arial"/>
        </w:rPr>
        <w:t xml:space="preserve">Los Intereses </w:t>
      </w:r>
      <w:r w:rsidR="00D35793" w:rsidRPr="00A779DD">
        <w:rPr>
          <w:rFonts w:ascii="Arial" w:hAnsi="Arial" w:cs="Arial"/>
        </w:rPr>
        <w:t>y la Amortización</w:t>
      </w:r>
      <w:r w:rsidRPr="00A779DD">
        <w:rPr>
          <w:rFonts w:ascii="Arial" w:hAnsi="Arial" w:cs="Arial"/>
        </w:rPr>
        <w:t xml:space="preserve"> corresponden al pago del préstamo solicitado </w:t>
      </w:r>
      <w:r w:rsidR="00D35793" w:rsidRPr="00A779DD">
        <w:rPr>
          <w:rFonts w:ascii="Arial" w:hAnsi="Arial" w:cs="Arial"/>
        </w:rPr>
        <w:t>al Banco del E</w:t>
      </w:r>
      <w:r w:rsidRPr="00A779DD">
        <w:rPr>
          <w:rFonts w:ascii="Arial" w:hAnsi="Arial" w:cs="Arial"/>
        </w:rPr>
        <w:t>stado</w:t>
      </w:r>
      <w:r w:rsidR="00451E84" w:rsidRPr="00A779DD">
        <w:rPr>
          <w:rFonts w:ascii="Arial" w:hAnsi="Arial" w:cs="Arial"/>
        </w:rPr>
        <w:t>.</w:t>
      </w:r>
      <w:r w:rsidR="00D35793" w:rsidRPr="00A779DD">
        <w:rPr>
          <w:rFonts w:ascii="Arial" w:hAnsi="Arial" w:cs="Arial"/>
        </w:rPr>
        <w:t xml:space="preserve"> </w:t>
      </w:r>
      <w:r w:rsidRPr="00A779DD">
        <w:rPr>
          <w:rFonts w:ascii="Arial" w:hAnsi="Arial" w:cs="Arial"/>
        </w:rPr>
        <w:t xml:space="preserve"> </w:t>
      </w:r>
    </w:p>
    <w:p w:rsidR="00451E84" w:rsidRPr="00A779DD" w:rsidRDefault="00451E84" w:rsidP="002C02E8">
      <w:pPr>
        <w:spacing w:line="480" w:lineRule="auto"/>
        <w:jc w:val="both"/>
        <w:rPr>
          <w:rFonts w:ascii="Arial" w:hAnsi="Arial" w:cs="Arial"/>
        </w:rPr>
      </w:pPr>
    </w:p>
    <w:p w:rsidR="00D35793" w:rsidRPr="00A779DD" w:rsidRDefault="00D35793" w:rsidP="002C02E8">
      <w:pPr>
        <w:spacing w:line="480" w:lineRule="auto"/>
        <w:jc w:val="both"/>
        <w:rPr>
          <w:rFonts w:ascii="Arial" w:hAnsi="Arial" w:cs="Arial"/>
        </w:rPr>
      </w:pPr>
      <w:r w:rsidRPr="00A779DD">
        <w:rPr>
          <w:rFonts w:ascii="Arial" w:hAnsi="Arial" w:cs="Arial"/>
        </w:rPr>
        <w:t>Dentro de la Inversión  consta la Infraestructura y los Equipos y Herramientas requeridos para dar inicio al Proyecto. Durante los  años de</w:t>
      </w:r>
      <w:r w:rsidR="007F5006" w:rsidRPr="00A779DD">
        <w:rPr>
          <w:rFonts w:ascii="Arial" w:hAnsi="Arial" w:cs="Arial"/>
        </w:rPr>
        <w:t xml:space="preserve"> duración del mism</w:t>
      </w:r>
      <w:r w:rsidRPr="00A779DD">
        <w:rPr>
          <w:rFonts w:ascii="Arial" w:hAnsi="Arial" w:cs="Arial"/>
        </w:rPr>
        <w:t>o se realiza la adqui</w:t>
      </w:r>
      <w:r w:rsidR="007F5006" w:rsidRPr="00A779DD">
        <w:rPr>
          <w:rFonts w:ascii="Arial" w:hAnsi="Arial" w:cs="Arial"/>
        </w:rPr>
        <w:t>sición de Equipos y Vehículos la</w:t>
      </w:r>
      <w:r w:rsidRPr="00A779DD">
        <w:rPr>
          <w:rFonts w:ascii="Arial" w:hAnsi="Arial" w:cs="Arial"/>
        </w:rPr>
        <w:t xml:space="preserve"> cual depende de la vida útil de cada activo.</w:t>
      </w:r>
    </w:p>
    <w:p w:rsidR="00356A55" w:rsidRPr="00A779DD" w:rsidRDefault="00356A55" w:rsidP="00EF014E">
      <w:pPr>
        <w:jc w:val="both"/>
        <w:rPr>
          <w:rFonts w:ascii="Arial" w:hAnsi="Arial" w:cs="Arial"/>
        </w:rPr>
      </w:pPr>
    </w:p>
    <w:p w:rsidR="00161F0A" w:rsidRPr="00A779DD" w:rsidRDefault="00161F0A" w:rsidP="00EF014E">
      <w:pPr>
        <w:jc w:val="both"/>
        <w:rPr>
          <w:rFonts w:ascii="Arial" w:hAnsi="Arial" w:cs="Arial"/>
        </w:rPr>
      </w:pPr>
    </w:p>
    <w:p w:rsidR="00161F0A" w:rsidRPr="00A779DD" w:rsidRDefault="00161F0A" w:rsidP="00EF014E">
      <w:pPr>
        <w:jc w:val="both"/>
        <w:rPr>
          <w:rFonts w:ascii="Arial" w:hAnsi="Arial" w:cs="Arial"/>
        </w:rPr>
      </w:pPr>
    </w:p>
    <w:p w:rsidR="00161F0A" w:rsidRPr="00A779DD" w:rsidRDefault="00161F0A" w:rsidP="00EF014E">
      <w:pPr>
        <w:jc w:val="both"/>
        <w:rPr>
          <w:rFonts w:ascii="Arial" w:hAnsi="Arial" w:cs="Arial"/>
        </w:rPr>
      </w:pPr>
    </w:p>
    <w:p w:rsidR="00161F0A" w:rsidRPr="00A779DD" w:rsidRDefault="00161F0A" w:rsidP="00EF014E">
      <w:pPr>
        <w:jc w:val="both"/>
        <w:rPr>
          <w:rFonts w:ascii="Arial" w:hAnsi="Arial" w:cs="Arial"/>
        </w:rPr>
      </w:pPr>
    </w:p>
    <w:p w:rsidR="00F62682" w:rsidRPr="00A31420" w:rsidRDefault="00F62682" w:rsidP="00EF014E">
      <w:pPr>
        <w:jc w:val="both"/>
        <w:rPr>
          <w:rFonts w:ascii="Arial" w:hAnsi="Arial" w:cs="Arial"/>
          <w:b/>
          <w:sz w:val="28"/>
          <w:szCs w:val="28"/>
        </w:rPr>
      </w:pPr>
      <w:r w:rsidRPr="00A31420">
        <w:rPr>
          <w:rFonts w:ascii="Arial" w:hAnsi="Arial" w:cs="Arial"/>
          <w:b/>
          <w:sz w:val="28"/>
          <w:szCs w:val="28"/>
        </w:rPr>
        <w:t>5.5</w:t>
      </w:r>
      <w:r w:rsidRPr="00A31420">
        <w:rPr>
          <w:rFonts w:ascii="Arial" w:hAnsi="Arial" w:cs="Arial"/>
          <w:b/>
          <w:sz w:val="28"/>
          <w:szCs w:val="28"/>
        </w:rPr>
        <w:tab/>
        <w:t>ESTADO DE PÉRDIDAS Y GANANCIAS</w:t>
      </w:r>
    </w:p>
    <w:p w:rsidR="00F62682" w:rsidRPr="00A779DD" w:rsidRDefault="00F62682" w:rsidP="00EF014E">
      <w:pPr>
        <w:jc w:val="both"/>
        <w:rPr>
          <w:rFonts w:ascii="Arial" w:hAnsi="Arial" w:cs="Arial"/>
        </w:rPr>
      </w:pPr>
    </w:p>
    <w:p w:rsidR="00F31254" w:rsidRPr="00A779DD" w:rsidRDefault="00F31254" w:rsidP="008149BE">
      <w:pPr>
        <w:spacing w:line="480" w:lineRule="auto"/>
        <w:jc w:val="both"/>
        <w:rPr>
          <w:rFonts w:ascii="Arial" w:hAnsi="Arial" w:cs="Arial"/>
          <w:bCs/>
        </w:rPr>
      </w:pPr>
    </w:p>
    <w:p w:rsidR="000556EF" w:rsidRPr="00A779DD" w:rsidRDefault="000556EF" w:rsidP="008149BE">
      <w:pPr>
        <w:spacing w:line="480" w:lineRule="auto"/>
        <w:jc w:val="both"/>
        <w:rPr>
          <w:rFonts w:ascii="Arial" w:hAnsi="Arial" w:cs="Arial"/>
          <w:bCs/>
        </w:rPr>
      </w:pPr>
      <w:r w:rsidRPr="00A779DD">
        <w:rPr>
          <w:rFonts w:ascii="Arial" w:hAnsi="Arial" w:cs="Arial"/>
          <w:bCs/>
        </w:rPr>
        <w:t>El Estado de Pérdidas y Ganancias</w:t>
      </w:r>
      <w:r w:rsidR="00F31254" w:rsidRPr="00A779DD">
        <w:rPr>
          <w:rStyle w:val="Refdenotaalpie"/>
          <w:rFonts w:ascii="Arial" w:hAnsi="Arial" w:cs="Arial"/>
          <w:bCs/>
        </w:rPr>
        <w:footnoteReference w:id="16"/>
      </w:r>
      <w:r w:rsidRPr="00A779DD">
        <w:rPr>
          <w:rFonts w:ascii="Arial" w:hAnsi="Arial" w:cs="Arial"/>
          <w:bCs/>
        </w:rPr>
        <w:t xml:space="preserve"> refleja </w:t>
      </w:r>
      <w:r w:rsidR="001E4BB5" w:rsidRPr="00A779DD">
        <w:rPr>
          <w:rFonts w:ascii="Arial" w:hAnsi="Arial" w:cs="Arial"/>
          <w:bCs/>
        </w:rPr>
        <w:t xml:space="preserve">la </w:t>
      </w:r>
      <w:r w:rsidR="001E4BB5" w:rsidRPr="00A779DD">
        <w:rPr>
          <w:rFonts w:ascii="Arial" w:hAnsi="Arial" w:cs="Arial"/>
          <w:bCs/>
          <w:i/>
        </w:rPr>
        <w:t>utilidad neta</w:t>
      </w:r>
      <w:r w:rsidR="001E4BB5" w:rsidRPr="00A779DD">
        <w:rPr>
          <w:rFonts w:ascii="Arial" w:hAnsi="Arial" w:cs="Arial"/>
          <w:bCs/>
        </w:rPr>
        <w:t xml:space="preserve"> obtenida de la diferencia de </w:t>
      </w:r>
      <w:r w:rsidRPr="00A779DD">
        <w:rPr>
          <w:rFonts w:ascii="Arial" w:hAnsi="Arial" w:cs="Arial"/>
          <w:bCs/>
        </w:rPr>
        <w:t>los ingresos y egresos derivados de la actividad desarrollada por el proyecto durante el periodo de análisis.</w:t>
      </w:r>
    </w:p>
    <w:p w:rsidR="000556EF" w:rsidRPr="00A779DD" w:rsidRDefault="000556EF" w:rsidP="008149BE">
      <w:pPr>
        <w:spacing w:line="480" w:lineRule="auto"/>
        <w:jc w:val="both"/>
        <w:rPr>
          <w:rFonts w:ascii="Arial" w:hAnsi="Arial" w:cs="Arial"/>
          <w:bCs/>
        </w:rPr>
      </w:pPr>
    </w:p>
    <w:p w:rsidR="000556EF" w:rsidRPr="00A779DD" w:rsidRDefault="00162174" w:rsidP="008149BE">
      <w:pPr>
        <w:spacing w:line="480" w:lineRule="auto"/>
        <w:jc w:val="both"/>
        <w:rPr>
          <w:rFonts w:ascii="Arial" w:hAnsi="Arial" w:cs="Arial"/>
          <w:bCs/>
        </w:rPr>
      </w:pPr>
      <w:r w:rsidRPr="00A779DD">
        <w:rPr>
          <w:rFonts w:ascii="Arial" w:hAnsi="Arial" w:cs="Arial"/>
          <w:bCs/>
        </w:rPr>
        <w:t>Los únicos ingresos recaudados son por concepto del cobro de la “Tarifa de Recolección”, la cual va a variar dependiendo de la categoría a la que pertenezca cada usuario.</w:t>
      </w:r>
    </w:p>
    <w:p w:rsidR="00162174" w:rsidRPr="00A779DD" w:rsidRDefault="00162174" w:rsidP="008149BE">
      <w:pPr>
        <w:spacing w:line="480" w:lineRule="auto"/>
        <w:jc w:val="both"/>
        <w:rPr>
          <w:rFonts w:ascii="Arial" w:hAnsi="Arial" w:cs="Arial"/>
          <w:bCs/>
        </w:rPr>
      </w:pPr>
    </w:p>
    <w:p w:rsidR="00162174" w:rsidRPr="00A779DD" w:rsidRDefault="00162174" w:rsidP="008149BE">
      <w:pPr>
        <w:spacing w:line="480" w:lineRule="auto"/>
        <w:jc w:val="both"/>
        <w:rPr>
          <w:rFonts w:ascii="Arial" w:hAnsi="Arial" w:cs="Arial"/>
          <w:bCs/>
        </w:rPr>
      </w:pPr>
      <w:r w:rsidRPr="00A779DD">
        <w:rPr>
          <w:rFonts w:ascii="Arial" w:hAnsi="Arial" w:cs="Arial"/>
          <w:bCs/>
        </w:rPr>
        <w:t>Los egresos incluyen los co</w:t>
      </w:r>
      <w:r w:rsidR="00451E84" w:rsidRPr="00A779DD">
        <w:rPr>
          <w:rFonts w:ascii="Arial" w:hAnsi="Arial" w:cs="Arial"/>
          <w:bCs/>
        </w:rPr>
        <w:t xml:space="preserve">stos directos, </w:t>
      </w:r>
      <w:r w:rsidRPr="00A779DD">
        <w:rPr>
          <w:rFonts w:ascii="Arial" w:hAnsi="Arial" w:cs="Arial"/>
          <w:bCs/>
        </w:rPr>
        <w:t xml:space="preserve">indirectos </w:t>
      </w:r>
      <w:r w:rsidR="00451E84" w:rsidRPr="00A779DD">
        <w:rPr>
          <w:rFonts w:ascii="Arial" w:hAnsi="Arial" w:cs="Arial"/>
          <w:bCs/>
        </w:rPr>
        <w:t xml:space="preserve">y costos de mantenimiento </w:t>
      </w:r>
      <w:r w:rsidRPr="00A779DD">
        <w:rPr>
          <w:rFonts w:ascii="Arial" w:hAnsi="Arial" w:cs="Arial"/>
          <w:bCs/>
        </w:rPr>
        <w:t>en los que incurre el proye</w:t>
      </w:r>
      <w:r w:rsidR="007A6BC9" w:rsidRPr="00A779DD">
        <w:rPr>
          <w:rFonts w:ascii="Arial" w:hAnsi="Arial" w:cs="Arial"/>
          <w:bCs/>
        </w:rPr>
        <w:t xml:space="preserve">cto, los intereses a pagar por </w:t>
      </w:r>
      <w:r w:rsidRPr="00A779DD">
        <w:rPr>
          <w:rFonts w:ascii="Arial" w:hAnsi="Arial" w:cs="Arial"/>
          <w:bCs/>
        </w:rPr>
        <w:t>e</w:t>
      </w:r>
      <w:r w:rsidR="007A6BC9" w:rsidRPr="00A779DD">
        <w:rPr>
          <w:rFonts w:ascii="Arial" w:hAnsi="Arial" w:cs="Arial"/>
          <w:bCs/>
        </w:rPr>
        <w:t>l</w:t>
      </w:r>
      <w:r w:rsidRPr="00A779DD">
        <w:rPr>
          <w:rFonts w:ascii="Arial" w:hAnsi="Arial" w:cs="Arial"/>
          <w:bCs/>
        </w:rPr>
        <w:t xml:space="preserve"> préstamo solicitado y la depreciación de los activos fijos.</w:t>
      </w:r>
    </w:p>
    <w:p w:rsidR="00162174" w:rsidRPr="00A779DD" w:rsidRDefault="00162174" w:rsidP="008149BE">
      <w:pPr>
        <w:spacing w:line="480" w:lineRule="auto"/>
        <w:jc w:val="both"/>
        <w:rPr>
          <w:rFonts w:ascii="Arial" w:hAnsi="Arial" w:cs="Arial"/>
          <w:bCs/>
        </w:rPr>
      </w:pPr>
    </w:p>
    <w:p w:rsidR="008960F6" w:rsidRPr="00A779DD" w:rsidRDefault="008960F6" w:rsidP="008149BE">
      <w:pPr>
        <w:spacing w:line="480" w:lineRule="auto"/>
        <w:jc w:val="both"/>
        <w:rPr>
          <w:rFonts w:ascii="Arial" w:hAnsi="Arial" w:cs="Arial"/>
          <w:bCs/>
        </w:rPr>
      </w:pPr>
    </w:p>
    <w:p w:rsidR="00F62682" w:rsidRPr="00A31420" w:rsidRDefault="00F62682" w:rsidP="00EF014E">
      <w:pPr>
        <w:jc w:val="both"/>
        <w:rPr>
          <w:rFonts w:ascii="Arial" w:hAnsi="Arial" w:cs="Arial"/>
          <w:b/>
          <w:sz w:val="28"/>
          <w:szCs w:val="28"/>
        </w:rPr>
      </w:pPr>
      <w:r w:rsidRPr="00A31420">
        <w:rPr>
          <w:rFonts w:ascii="Arial" w:hAnsi="Arial" w:cs="Arial"/>
          <w:b/>
          <w:sz w:val="28"/>
          <w:szCs w:val="28"/>
        </w:rPr>
        <w:t>5.6</w:t>
      </w:r>
      <w:r w:rsidRPr="00A31420">
        <w:rPr>
          <w:rFonts w:ascii="Arial" w:hAnsi="Arial" w:cs="Arial"/>
          <w:b/>
          <w:sz w:val="28"/>
          <w:szCs w:val="28"/>
        </w:rPr>
        <w:tab/>
        <w:t>BALANCE GENERAL</w:t>
      </w:r>
    </w:p>
    <w:p w:rsidR="00393023" w:rsidRPr="00A779DD" w:rsidRDefault="00393023" w:rsidP="00EF014E">
      <w:pPr>
        <w:jc w:val="both"/>
        <w:rPr>
          <w:rFonts w:ascii="Arial" w:hAnsi="Arial" w:cs="Arial"/>
        </w:rPr>
      </w:pPr>
    </w:p>
    <w:p w:rsidR="00F31254" w:rsidRPr="00A779DD" w:rsidRDefault="00F31254" w:rsidP="008149BE">
      <w:pPr>
        <w:spacing w:line="480" w:lineRule="auto"/>
        <w:jc w:val="both"/>
        <w:rPr>
          <w:rFonts w:ascii="Arial" w:hAnsi="Arial" w:cs="Arial"/>
        </w:rPr>
      </w:pPr>
    </w:p>
    <w:p w:rsidR="00F62682" w:rsidRPr="00A779DD" w:rsidRDefault="00393023" w:rsidP="008149BE">
      <w:pPr>
        <w:spacing w:line="480" w:lineRule="auto"/>
        <w:jc w:val="both"/>
        <w:rPr>
          <w:rFonts w:ascii="Arial" w:hAnsi="Arial" w:cs="Arial"/>
        </w:rPr>
      </w:pPr>
      <w:r w:rsidRPr="00A779DD">
        <w:rPr>
          <w:rFonts w:ascii="Arial" w:hAnsi="Arial" w:cs="Arial"/>
        </w:rPr>
        <w:t>El Balance General</w:t>
      </w:r>
      <w:r w:rsidR="00F31254" w:rsidRPr="00A779DD">
        <w:rPr>
          <w:rStyle w:val="Refdenotaalpie"/>
          <w:rFonts w:ascii="Arial" w:hAnsi="Arial" w:cs="Arial"/>
        </w:rPr>
        <w:footnoteReference w:id="17"/>
      </w:r>
      <w:r w:rsidRPr="00A779DD">
        <w:rPr>
          <w:rFonts w:ascii="Arial" w:hAnsi="Arial" w:cs="Arial"/>
        </w:rPr>
        <w:t xml:space="preserve"> refleja la situación financiera del proyecto, por medio de una relación ordenada de Activos, Pasivos y  Patrimonio.</w:t>
      </w:r>
    </w:p>
    <w:p w:rsidR="00161F0A" w:rsidRPr="00A779DD" w:rsidRDefault="00161F0A" w:rsidP="008149BE">
      <w:pPr>
        <w:spacing w:line="480" w:lineRule="auto"/>
        <w:jc w:val="both"/>
        <w:rPr>
          <w:rFonts w:ascii="Arial" w:hAnsi="Arial" w:cs="Arial"/>
        </w:rPr>
      </w:pPr>
    </w:p>
    <w:p w:rsidR="00393023" w:rsidRPr="00A779DD" w:rsidRDefault="00393023" w:rsidP="008149BE">
      <w:pPr>
        <w:spacing w:line="480" w:lineRule="auto"/>
        <w:jc w:val="both"/>
        <w:rPr>
          <w:rFonts w:ascii="Arial" w:hAnsi="Arial" w:cs="Arial"/>
        </w:rPr>
      </w:pPr>
      <w:r w:rsidRPr="00A779DD">
        <w:rPr>
          <w:rFonts w:ascii="Arial" w:hAnsi="Arial" w:cs="Arial"/>
        </w:rPr>
        <w:t>El Activo</w:t>
      </w:r>
      <w:r w:rsidR="00267A7F" w:rsidRPr="00A779DD">
        <w:rPr>
          <w:rFonts w:ascii="Arial" w:hAnsi="Arial" w:cs="Arial"/>
        </w:rPr>
        <w:t xml:space="preserve"> </w:t>
      </w:r>
      <w:r w:rsidR="007A6BC9" w:rsidRPr="00A779DD">
        <w:rPr>
          <w:rFonts w:ascii="Arial" w:hAnsi="Arial" w:cs="Arial"/>
        </w:rPr>
        <w:t>consta de</w:t>
      </w:r>
      <w:r w:rsidR="00267A7F" w:rsidRPr="00A779DD">
        <w:rPr>
          <w:rFonts w:ascii="Arial" w:hAnsi="Arial" w:cs="Arial"/>
        </w:rPr>
        <w:t xml:space="preserve"> todos los bienes y derechos con valor monetario que pertenezcan al proyecto, se</w:t>
      </w:r>
      <w:r w:rsidRPr="00A779DD">
        <w:rPr>
          <w:rFonts w:ascii="Arial" w:hAnsi="Arial" w:cs="Arial"/>
        </w:rPr>
        <w:t xml:space="preserve"> encuentra formado por las cuentas</w:t>
      </w:r>
      <w:r w:rsidR="00161F0A" w:rsidRPr="00A779DD">
        <w:rPr>
          <w:rFonts w:ascii="Arial" w:hAnsi="Arial" w:cs="Arial"/>
        </w:rPr>
        <w:t xml:space="preserve"> </w:t>
      </w:r>
      <w:r w:rsidRPr="00A779DD">
        <w:rPr>
          <w:rFonts w:ascii="Arial" w:hAnsi="Arial" w:cs="Arial"/>
        </w:rPr>
        <w:t xml:space="preserve">Activo Circulante y Activo Fijo.  En </w:t>
      </w:r>
      <w:r w:rsidR="00363DE1" w:rsidRPr="00A779DD">
        <w:rPr>
          <w:rFonts w:ascii="Arial" w:hAnsi="Arial" w:cs="Arial"/>
        </w:rPr>
        <w:t>el Activo Circulante se encuentra</w:t>
      </w:r>
      <w:r w:rsidRPr="00A779DD">
        <w:rPr>
          <w:rFonts w:ascii="Arial" w:hAnsi="Arial" w:cs="Arial"/>
        </w:rPr>
        <w:t xml:space="preserve"> la subcuenta </w:t>
      </w:r>
      <w:r w:rsidRPr="00A779DD">
        <w:rPr>
          <w:rFonts w:ascii="Arial" w:hAnsi="Arial" w:cs="Arial"/>
          <w:i/>
        </w:rPr>
        <w:t>Caja-Banco</w:t>
      </w:r>
      <w:r w:rsidRPr="00A779DD">
        <w:rPr>
          <w:rFonts w:ascii="Arial" w:hAnsi="Arial" w:cs="Arial"/>
        </w:rPr>
        <w:t xml:space="preserve"> cuyo valor proviene de</w:t>
      </w:r>
      <w:r w:rsidR="00267A7F" w:rsidRPr="00A779DD">
        <w:rPr>
          <w:rFonts w:ascii="Arial" w:hAnsi="Arial" w:cs="Arial"/>
        </w:rPr>
        <w:t xml:space="preserve">l saldo </w:t>
      </w:r>
      <w:r w:rsidR="00C61AEE" w:rsidRPr="00A779DD">
        <w:rPr>
          <w:rFonts w:ascii="Arial" w:hAnsi="Arial" w:cs="Arial"/>
        </w:rPr>
        <w:t>de los ingresos menos los egresos y menos el pag</w:t>
      </w:r>
      <w:r w:rsidR="007A6BC9" w:rsidRPr="00A779DD">
        <w:rPr>
          <w:rFonts w:ascii="Arial" w:hAnsi="Arial" w:cs="Arial"/>
        </w:rPr>
        <w:t xml:space="preserve">o de la deuda </w:t>
      </w:r>
      <w:r w:rsidR="00267A7F" w:rsidRPr="00A779DD">
        <w:rPr>
          <w:rFonts w:ascii="Arial" w:hAnsi="Arial" w:cs="Arial"/>
        </w:rPr>
        <w:t xml:space="preserve"> </w:t>
      </w:r>
      <w:r w:rsidR="00363DE1" w:rsidRPr="00A779DD">
        <w:rPr>
          <w:rFonts w:ascii="Arial" w:hAnsi="Arial" w:cs="Arial"/>
        </w:rPr>
        <w:t>y</w:t>
      </w:r>
      <w:r w:rsidR="007A6BC9" w:rsidRPr="00A779DD">
        <w:rPr>
          <w:rFonts w:ascii="Arial" w:hAnsi="Arial" w:cs="Arial"/>
        </w:rPr>
        <w:t>,</w:t>
      </w:r>
      <w:r w:rsidR="00363DE1" w:rsidRPr="00A779DD">
        <w:rPr>
          <w:rFonts w:ascii="Arial" w:hAnsi="Arial" w:cs="Arial"/>
        </w:rPr>
        <w:t xml:space="preserve"> en el Activo Fijo se encuentra</w:t>
      </w:r>
      <w:r w:rsidR="00267A7F" w:rsidRPr="00A779DD">
        <w:rPr>
          <w:rFonts w:ascii="Arial" w:hAnsi="Arial" w:cs="Arial"/>
        </w:rPr>
        <w:t xml:space="preserve"> las subcuentas </w:t>
      </w:r>
      <w:r w:rsidR="00267A7F" w:rsidRPr="00A779DD">
        <w:rPr>
          <w:rFonts w:ascii="Arial" w:hAnsi="Arial" w:cs="Arial"/>
          <w:i/>
        </w:rPr>
        <w:t>Terreno, Infraestructura, Equipos, Vehículos y Maquinarias</w:t>
      </w:r>
      <w:r w:rsidR="00267A7F" w:rsidRPr="00A779DD">
        <w:rPr>
          <w:rFonts w:ascii="Arial" w:hAnsi="Arial" w:cs="Arial"/>
        </w:rPr>
        <w:t xml:space="preserve"> que se adquirirán p</w:t>
      </w:r>
      <w:r w:rsidR="00161F0A" w:rsidRPr="00A779DD">
        <w:rPr>
          <w:rFonts w:ascii="Arial" w:hAnsi="Arial" w:cs="Arial"/>
        </w:rPr>
        <w:t>ara la realización del proyecto;</w:t>
      </w:r>
      <w:r w:rsidR="00267A7F" w:rsidRPr="00A779DD">
        <w:rPr>
          <w:rFonts w:ascii="Arial" w:hAnsi="Arial" w:cs="Arial"/>
        </w:rPr>
        <w:t xml:space="preserve"> </w:t>
      </w:r>
      <w:r w:rsidR="00EF014E" w:rsidRPr="00A779DD">
        <w:rPr>
          <w:rFonts w:ascii="Arial" w:hAnsi="Arial" w:cs="Arial"/>
        </w:rPr>
        <w:t>además</w:t>
      </w:r>
      <w:r w:rsidR="007A6BC9" w:rsidRPr="00A779DD">
        <w:rPr>
          <w:rFonts w:ascii="Arial" w:hAnsi="Arial" w:cs="Arial"/>
        </w:rPr>
        <w:t>,</w:t>
      </w:r>
      <w:r w:rsidR="00EF014E" w:rsidRPr="00A779DD">
        <w:rPr>
          <w:rFonts w:ascii="Arial" w:hAnsi="Arial" w:cs="Arial"/>
        </w:rPr>
        <w:t xml:space="preserve"> la subcuenta Depreciación</w:t>
      </w:r>
      <w:r w:rsidR="005048FF" w:rsidRPr="00A779DD">
        <w:rPr>
          <w:rFonts w:ascii="Arial" w:hAnsi="Arial" w:cs="Arial"/>
        </w:rPr>
        <w:t xml:space="preserve"> Acumulada</w:t>
      </w:r>
      <w:r w:rsidR="00EF014E" w:rsidRPr="00A779DD">
        <w:rPr>
          <w:rFonts w:ascii="Arial" w:hAnsi="Arial" w:cs="Arial"/>
        </w:rPr>
        <w:t xml:space="preserve"> para dichos activos.</w:t>
      </w:r>
    </w:p>
    <w:p w:rsidR="00EF014E" w:rsidRPr="00A779DD" w:rsidRDefault="00EF014E" w:rsidP="008149BE">
      <w:pPr>
        <w:spacing w:line="480" w:lineRule="auto"/>
        <w:jc w:val="both"/>
        <w:rPr>
          <w:rFonts w:ascii="Arial" w:hAnsi="Arial" w:cs="Arial"/>
        </w:rPr>
      </w:pPr>
    </w:p>
    <w:p w:rsidR="00EF014E" w:rsidRPr="00A779DD" w:rsidRDefault="006F4665" w:rsidP="008149BE">
      <w:pPr>
        <w:spacing w:line="480" w:lineRule="auto"/>
        <w:jc w:val="both"/>
        <w:rPr>
          <w:rFonts w:ascii="Arial" w:hAnsi="Arial" w:cs="Arial"/>
        </w:rPr>
      </w:pPr>
      <w:r w:rsidRPr="00A779DD">
        <w:rPr>
          <w:rFonts w:ascii="Arial" w:hAnsi="Arial" w:cs="Arial"/>
        </w:rPr>
        <w:t>El</w:t>
      </w:r>
      <w:r w:rsidR="00EF014E" w:rsidRPr="00A779DD">
        <w:rPr>
          <w:rFonts w:ascii="Arial" w:hAnsi="Arial" w:cs="Arial"/>
        </w:rPr>
        <w:t xml:space="preserve"> Pasiv</w:t>
      </w:r>
      <w:r w:rsidR="00363DE1" w:rsidRPr="00A779DD">
        <w:rPr>
          <w:rFonts w:ascii="Arial" w:hAnsi="Arial" w:cs="Arial"/>
        </w:rPr>
        <w:t>o es el valor monetario total de las deudas y compromisos que gravan al proyecto, se encuentra formado por las cuentas</w:t>
      </w:r>
      <w:r w:rsidR="00161F0A" w:rsidRPr="00A779DD">
        <w:rPr>
          <w:rFonts w:ascii="Arial" w:hAnsi="Arial" w:cs="Arial"/>
        </w:rPr>
        <w:t xml:space="preserve"> </w:t>
      </w:r>
      <w:r w:rsidR="007A6BC9" w:rsidRPr="00A779DD">
        <w:rPr>
          <w:rFonts w:ascii="Arial" w:hAnsi="Arial" w:cs="Arial"/>
        </w:rPr>
        <w:t xml:space="preserve"> </w:t>
      </w:r>
      <w:r w:rsidR="00363DE1" w:rsidRPr="00A779DD">
        <w:rPr>
          <w:rFonts w:ascii="Arial" w:hAnsi="Arial" w:cs="Arial"/>
        </w:rPr>
        <w:t xml:space="preserve">Pasivo Circulante y Pasivo a Largo Plazo.  En el Pasivo a Largo Plazo se encuentra la subcuenta </w:t>
      </w:r>
      <w:r w:rsidR="00363DE1" w:rsidRPr="00A779DD">
        <w:rPr>
          <w:rFonts w:ascii="Arial" w:hAnsi="Arial" w:cs="Arial"/>
          <w:i/>
        </w:rPr>
        <w:t>Documentos</w:t>
      </w:r>
      <w:r w:rsidR="00363DE1" w:rsidRPr="00A779DD">
        <w:rPr>
          <w:rFonts w:ascii="Arial" w:hAnsi="Arial" w:cs="Arial"/>
        </w:rPr>
        <w:t xml:space="preserve"> </w:t>
      </w:r>
      <w:r w:rsidR="00363DE1" w:rsidRPr="00A779DD">
        <w:rPr>
          <w:rFonts w:ascii="Arial" w:hAnsi="Arial" w:cs="Arial"/>
          <w:i/>
        </w:rPr>
        <w:t>por Pagar L/P</w:t>
      </w:r>
      <w:r w:rsidR="00363DE1" w:rsidRPr="00A779DD">
        <w:rPr>
          <w:rFonts w:ascii="Arial" w:hAnsi="Arial" w:cs="Arial"/>
        </w:rPr>
        <w:t xml:space="preserve"> cuyo valor corresponde al pago anual obtenido en la tabla de amortización de la deuda.</w:t>
      </w:r>
    </w:p>
    <w:p w:rsidR="006F4665" w:rsidRPr="00A779DD" w:rsidRDefault="006F4665" w:rsidP="008149BE">
      <w:pPr>
        <w:spacing w:line="480" w:lineRule="auto"/>
        <w:jc w:val="both"/>
        <w:rPr>
          <w:rFonts w:ascii="Arial" w:hAnsi="Arial" w:cs="Arial"/>
        </w:rPr>
      </w:pPr>
    </w:p>
    <w:p w:rsidR="006F4665" w:rsidRPr="00A779DD" w:rsidRDefault="006F4665" w:rsidP="008149BE">
      <w:pPr>
        <w:spacing w:line="480" w:lineRule="auto"/>
        <w:jc w:val="both"/>
        <w:rPr>
          <w:rFonts w:ascii="Arial" w:hAnsi="Arial" w:cs="Arial"/>
        </w:rPr>
      </w:pPr>
      <w:r w:rsidRPr="00A779DD">
        <w:rPr>
          <w:rFonts w:ascii="Arial" w:hAnsi="Arial" w:cs="Arial"/>
        </w:rPr>
        <w:t>El Patrimonio</w:t>
      </w:r>
      <w:r w:rsidR="00A52AD8" w:rsidRPr="00A779DD">
        <w:rPr>
          <w:rFonts w:ascii="Arial" w:hAnsi="Arial" w:cs="Arial"/>
        </w:rPr>
        <w:t xml:space="preserve"> corresponde al conjunto de bienes pertenecientes al proyec</w:t>
      </w:r>
      <w:r w:rsidR="008960F6" w:rsidRPr="00A779DD">
        <w:rPr>
          <w:rFonts w:ascii="Arial" w:hAnsi="Arial" w:cs="Arial"/>
        </w:rPr>
        <w:t>to, se encuentra formado por las sub</w:t>
      </w:r>
      <w:r w:rsidR="00A52AD8" w:rsidRPr="00A779DD">
        <w:rPr>
          <w:rFonts w:ascii="Arial" w:hAnsi="Arial" w:cs="Arial"/>
        </w:rPr>
        <w:t>cuenta</w:t>
      </w:r>
      <w:r w:rsidR="008960F6" w:rsidRPr="00A779DD">
        <w:rPr>
          <w:rFonts w:ascii="Arial" w:hAnsi="Arial" w:cs="Arial"/>
        </w:rPr>
        <w:t>s</w:t>
      </w:r>
      <w:r w:rsidR="008A3F36" w:rsidRPr="00A779DD">
        <w:rPr>
          <w:rFonts w:ascii="Arial" w:hAnsi="Arial" w:cs="Arial"/>
        </w:rPr>
        <w:t xml:space="preserve">: </w:t>
      </w:r>
      <w:r w:rsidR="008960F6" w:rsidRPr="00A779DD">
        <w:rPr>
          <w:rFonts w:ascii="Arial" w:hAnsi="Arial" w:cs="Arial"/>
          <w:i/>
        </w:rPr>
        <w:t>Capital</w:t>
      </w:r>
      <w:r w:rsidR="008960F6" w:rsidRPr="00A779DD">
        <w:rPr>
          <w:rFonts w:ascii="Arial" w:hAnsi="Arial" w:cs="Arial"/>
        </w:rPr>
        <w:t xml:space="preserve"> correspondiente al aporte de los municipios, </w:t>
      </w:r>
      <w:r w:rsidR="00A52AD8" w:rsidRPr="00A779DD">
        <w:rPr>
          <w:rFonts w:ascii="Arial" w:hAnsi="Arial" w:cs="Arial"/>
          <w:i/>
        </w:rPr>
        <w:t>Utilidad</w:t>
      </w:r>
      <w:r w:rsidR="00A52AD8" w:rsidRPr="00A779DD">
        <w:rPr>
          <w:rFonts w:ascii="Arial" w:hAnsi="Arial" w:cs="Arial"/>
        </w:rPr>
        <w:t xml:space="preserve"> cuyo valor se lo obtiene de</w:t>
      </w:r>
      <w:r w:rsidR="008960F6" w:rsidRPr="00A779DD">
        <w:rPr>
          <w:rFonts w:ascii="Arial" w:hAnsi="Arial" w:cs="Arial"/>
        </w:rPr>
        <w:t>l Estado de Pérdida y Ganancias y</w:t>
      </w:r>
      <w:r w:rsidR="008A3F36" w:rsidRPr="00A779DD">
        <w:rPr>
          <w:rFonts w:ascii="Arial" w:hAnsi="Arial" w:cs="Arial"/>
        </w:rPr>
        <w:t xml:space="preserve"> </w:t>
      </w:r>
      <w:r w:rsidR="008960F6" w:rsidRPr="00A779DD">
        <w:rPr>
          <w:rFonts w:ascii="Arial" w:hAnsi="Arial" w:cs="Arial"/>
        </w:rPr>
        <w:t xml:space="preserve"> las Utilidades Acumuladas.</w:t>
      </w:r>
    </w:p>
    <w:p w:rsidR="00356A55" w:rsidRPr="00A779DD" w:rsidRDefault="00356A55" w:rsidP="008149BE">
      <w:pPr>
        <w:spacing w:line="480" w:lineRule="auto"/>
        <w:jc w:val="both"/>
        <w:rPr>
          <w:rFonts w:ascii="Arial" w:hAnsi="Arial" w:cs="Arial"/>
        </w:rPr>
      </w:pPr>
    </w:p>
    <w:p w:rsidR="008960F6" w:rsidRPr="00A779DD" w:rsidRDefault="008960F6" w:rsidP="008149BE">
      <w:pPr>
        <w:spacing w:line="480" w:lineRule="auto"/>
        <w:jc w:val="both"/>
        <w:rPr>
          <w:rFonts w:ascii="Arial" w:hAnsi="Arial" w:cs="Arial"/>
        </w:rPr>
      </w:pPr>
    </w:p>
    <w:p w:rsidR="008960F6" w:rsidRPr="00A779DD" w:rsidRDefault="008960F6" w:rsidP="008149BE">
      <w:pPr>
        <w:spacing w:line="480" w:lineRule="auto"/>
        <w:jc w:val="both"/>
        <w:rPr>
          <w:rFonts w:ascii="Arial" w:hAnsi="Arial" w:cs="Arial"/>
        </w:rPr>
      </w:pPr>
    </w:p>
    <w:p w:rsidR="00356A55" w:rsidRPr="00A779DD" w:rsidRDefault="00356A55" w:rsidP="00EF014E">
      <w:pPr>
        <w:jc w:val="both"/>
        <w:rPr>
          <w:rFonts w:ascii="Arial" w:hAnsi="Arial" w:cs="Arial"/>
        </w:rPr>
      </w:pPr>
    </w:p>
    <w:p w:rsidR="00F62682" w:rsidRPr="00A31420" w:rsidRDefault="00F62682" w:rsidP="00EF014E">
      <w:pPr>
        <w:jc w:val="both"/>
        <w:rPr>
          <w:rFonts w:ascii="Arial" w:hAnsi="Arial" w:cs="Arial"/>
          <w:b/>
          <w:sz w:val="28"/>
          <w:szCs w:val="28"/>
        </w:rPr>
      </w:pPr>
      <w:r w:rsidRPr="00A31420">
        <w:rPr>
          <w:rFonts w:ascii="Arial" w:hAnsi="Arial" w:cs="Arial"/>
          <w:b/>
          <w:sz w:val="28"/>
          <w:szCs w:val="28"/>
        </w:rPr>
        <w:t>5.7</w:t>
      </w:r>
      <w:r w:rsidRPr="00A31420">
        <w:rPr>
          <w:rFonts w:ascii="Arial" w:hAnsi="Arial" w:cs="Arial"/>
          <w:b/>
          <w:sz w:val="28"/>
          <w:szCs w:val="28"/>
        </w:rPr>
        <w:tab/>
        <w:t>EVALUACIÓN FINANCIERA</w:t>
      </w:r>
    </w:p>
    <w:p w:rsidR="00F62682" w:rsidRPr="00A779DD" w:rsidRDefault="00F62682" w:rsidP="00EF014E">
      <w:pPr>
        <w:jc w:val="both"/>
        <w:rPr>
          <w:rFonts w:ascii="Arial" w:hAnsi="Arial" w:cs="Arial"/>
        </w:rPr>
      </w:pPr>
    </w:p>
    <w:p w:rsidR="00356A55" w:rsidRPr="00A779DD" w:rsidRDefault="00356A55" w:rsidP="00EF014E">
      <w:pPr>
        <w:jc w:val="both"/>
        <w:rPr>
          <w:rFonts w:ascii="Arial" w:hAnsi="Arial" w:cs="Arial"/>
        </w:rPr>
      </w:pPr>
    </w:p>
    <w:p w:rsidR="00490B21" w:rsidRPr="00A779DD" w:rsidRDefault="00490B21" w:rsidP="00EF014E">
      <w:pPr>
        <w:jc w:val="both"/>
        <w:rPr>
          <w:rFonts w:ascii="Arial" w:hAnsi="Arial" w:cs="Arial"/>
        </w:rPr>
      </w:pPr>
    </w:p>
    <w:p w:rsidR="00F62682" w:rsidRPr="00A31420" w:rsidRDefault="00490B21" w:rsidP="00EF014E">
      <w:pPr>
        <w:jc w:val="both"/>
        <w:rPr>
          <w:rFonts w:ascii="Arial" w:hAnsi="Arial" w:cs="Arial"/>
          <w:b/>
          <w:sz w:val="28"/>
          <w:szCs w:val="28"/>
        </w:rPr>
      </w:pPr>
      <w:r w:rsidRPr="00A31420">
        <w:rPr>
          <w:rFonts w:ascii="Arial" w:hAnsi="Arial" w:cs="Arial"/>
          <w:b/>
          <w:sz w:val="28"/>
          <w:szCs w:val="28"/>
        </w:rPr>
        <w:t>5.7.1.</w:t>
      </w:r>
      <w:r w:rsidRPr="00A31420">
        <w:rPr>
          <w:rFonts w:ascii="Arial" w:hAnsi="Arial" w:cs="Arial"/>
          <w:b/>
          <w:sz w:val="28"/>
          <w:szCs w:val="28"/>
        </w:rPr>
        <w:tab/>
        <w:t xml:space="preserve">  </w:t>
      </w:r>
      <w:r w:rsidR="00A31420">
        <w:rPr>
          <w:rFonts w:ascii="Arial" w:hAnsi="Arial" w:cs="Arial"/>
          <w:b/>
          <w:sz w:val="28"/>
          <w:szCs w:val="28"/>
        </w:rPr>
        <w:t xml:space="preserve"> </w:t>
      </w:r>
      <w:r w:rsidR="00A31420" w:rsidRPr="00A31420">
        <w:rPr>
          <w:rFonts w:ascii="Arial" w:hAnsi="Arial" w:cs="Arial"/>
          <w:b/>
          <w:sz w:val="28"/>
          <w:szCs w:val="28"/>
        </w:rPr>
        <w:t>Costo promedio ponderado del capital (wacc)</w:t>
      </w:r>
    </w:p>
    <w:p w:rsidR="00F62682" w:rsidRPr="00A779DD" w:rsidRDefault="00F62682" w:rsidP="00EF014E">
      <w:pPr>
        <w:jc w:val="both"/>
        <w:rPr>
          <w:rFonts w:ascii="Arial" w:hAnsi="Arial" w:cs="Arial"/>
        </w:rPr>
      </w:pPr>
    </w:p>
    <w:p w:rsidR="008149BE" w:rsidRPr="00A779DD" w:rsidRDefault="008149BE" w:rsidP="008149BE">
      <w:pPr>
        <w:spacing w:line="480" w:lineRule="auto"/>
        <w:jc w:val="both"/>
        <w:rPr>
          <w:rFonts w:ascii="Arial" w:hAnsi="Arial" w:cs="Arial"/>
        </w:rPr>
      </w:pPr>
    </w:p>
    <w:p w:rsidR="00356A55" w:rsidRPr="00A779DD" w:rsidRDefault="00D23BA6" w:rsidP="008149BE">
      <w:pPr>
        <w:spacing w:line="480" w:lineRule="auto"/>
        <w:jc w:val="both"/>
        <w:rPr>
          <w:rFonts w:ascii="Arial" w:hAnsi="Arial" w:cs="Arial"/>
        </w:rPr>
      </w:pPr>
      <w:r w:rsidRPr="00A779DD">
        <w:rPr>
          <w:rFonts w:ascii="Arial" w:hAnsi="Arial" w:cs="Arial"/>
        </w:rPr>
        <w:t xml:space="preserve">El proyecto a estudio es de carácter </w:t>
      </w:r>
      <w:r w:rsidR="009C5170" w:rsidRPr="00A779DD">
        <w:rPr>
          <w:rFonts w:ascii="Arial" w:hAnsi="Arial" w:cs="Arial"/>
        </w:rPr>
        <w:t>público;</w:t>
      </w:r>
      <w:r w:rsidR="002B2188" w:rsidRPr="00A779DD">
        <w:rPr>
          <w:rFonts w:ascii="Arial" w:hAnsi="Arial" w:cs="Arial"/>
        </w:rPr>
        <w:t xml:space="preserve"> es decir</w:t>
      </w:r>
      <w:r w:rsidR="009C5170" w:rsidRPr="00A779DD">
        <w:rPr>
          <w:rFonts w:ascii="Arial" w:hAnsi="Arial" w:cs="Arial"/>
        </w:rPr>
        <w:t>,</w:t>
      </w:r>
      <w:r w:rsidR="002B2188" w:rsidRPr="00A779DD">
        <w:rPr>
          <w:rFonts w:ascii="Arial" w:hAnsi="Arial" w:cs="Arial"/>
        </w:rPr>
        <w:t xml:space="preserve"> esta bajo la administración </w:t>
      </w:r>
      <w:r w:rsidR="009C5170" w:rsidRPr="00A779DD">
        <w:rPr>
          <w:rFonts w:ascii="Arial" w:hAnsi="Arial" w:cs="Arial"/>
        </w:rPr>
        <w:t>del gobierno, por lo que</w:t>
      </w:r>
      <w:r w:rsidR="002B2188" w:rsidRPr="00A779DD">
        <w:rPr>
          <w:rFonts w:ascii="Arial" w:hAnsi="Arial" w:cs="Arial"/>
        </w:rPr>
        <w:t xml:space="preserve"> la tasa a la que se descontará  los flujos de efectivo futuros del proyecto es la establecida por el Banco del Estado, la cual corresponde al 12%.</w:t>
      </w:r>
    </w:p>
    <w:p w:rsidR="00356A55" w:rsidRPr="00A779DD" w:rsidRDefault="00356A55" w:rsidP="00EF014E">
      <w:pPr>
        <w:jc w:val="both"/>
        <w:rPr>
          <w:rFonts w:ascii="Arial" w:hAnsi="Arial" w:cs="Arial"/>
        </w:rPr>
      </w:pPr>
    </w:p>
    <w:p w:rsidR="00F31254" w:rsidRPr="00A779DD" w:rsidRDefault="00F31254" w:rsidP="00EF014E">
      <w:pPr>
        <w:jc w:val="both"/>
        <w:rPr>
          <w:rFonts w:ascii="Arial" w:hAnsi="Arial" w:cs="Arial"/>
          <w:b/>
        </w:rPr>
      </w:pPr>
    </w:p>
    <w:p w:rsidR="00F62682" w:rsidRPr="00A31420" w:rsidRDefault="00A31420" w:rsidP="00EF014E">
      <w:pPr>
        <w:jc w:val="both"/>
        <w:rPr>
          <w:rFonts w:ascii="Arial" w:hAnsi="Arial" w:cs="Arial"/>
          <w:b/>
          <w:sz w:val="28"/>
          <w:szCs w:val="28"/>
        </w:rPr>
      </w:pPr>
      <w:r w:rsidRPr="00A31420">
        <w:rPr>
          <w:rFonts w:ascii="Arial" w:hAnsi="Arial" w:cs="Arial"/>
          <w:b/>
          <w:sz w:val="28"/>
          <w:szCs w:val="28"/>
        </w:rPr>
        <w:t>5.7.2.   Valor actual neto</w:t>
      </w:r>
      <w:r w:rsidR="00F62682" w:rsidRPr="00A31420">
        <w:rPr>
          <w:rFonts w:ascii="Arial" w:hAnsi="Arial" w:cs="Arial"/>
          <w:b/>
          <w:sz w:val="28"/>
          <w:szCs w:val="28"/>
        </w:rPr>
        <w:tab/>
      </w:r>
    </w:p>
    <w:p w:rsidR="00F62682" w:rsidRPr="00A779DD" w:rsidRDefault="00F62682" w:rsidP="00EF014E">
      <w:pPr>
        <w:jc w:val="both"/>
        <w:rPr>
          <w:rFonts w:ascii="Arial" w:hAnsi="Arial" w:cs="Arial"/>
        </w:rPr>
      </w:pPr>
    </w:p>
    <w:p w:rsidR="00F31254" w:rsidRPr="00A779DD" w:rsidRDefault="00F31254" w:rsidP="008149BE">
      <w:pPr>
        <w:spacing w:line="480" w:lineRule="auto"/>
        <w:jc w:val="both"/>
        <w:rPr>
          <w:rFonts w:ascii="Arial" w:hAnsi="Arial" w:cs="Arial"/>
          <w:bCs/>
        </w:rPr>
      </w:pPr>
    </w:p>
    <w:p w:rsidR="00F24498" w:rsidRPr="00A779DD" w:rsidRDefault="00F24498" w:rsidP="008149BE">
      <w:pPr>
        <w:spacing w:line="480" w:lineRule="auto"/>
        <w:jc w:val="both"/>
        <w:rPr>
          <w:rFonts w:ascii="Arial" w:hAnsi="Arial" w:cs="Arial"/>
          <w:bCs/>
        </w:rPr>
      </w:pPr>
      <w:r w:rsidRPr="00A779DD">
        <w:rPr>
          <w:rFonts w:ascii="Arial" w:hAnsi="Arial" w:cs="Arial"/>
          <w:bCs/>
        </w:rPr>
        <w:t xml:space="preserve">El Valor Actual Neto de la empresa una vez descontados los flujos de efectivo </w:t>
      </w:r>
      <w:r w:rsidR="00490B21" w:rsidRPr="00A779DD">
        <w:rPr>
          <w:rFonts w:ascii="Arial" w:hAnsi="Arial" w:cs="Arial"/>
          <w:bCs/>
        </w:rPr>
        <w:t xml:space="preserve"> y</w:t>
      </w:r>
      <w:r w:rsidRPr="00A779DD">
        <w:rPr>
          <w:rFonts w:ascii="Arial" w:hAnsi="Arial" w:cs="Arial"/>
          <w:bCs/>
        </w:rPr>
        <w:t xml:space="preserve"> traídos a valor presente con una tasa de descuento del 1</w:t>
      </w:r>
      <w:r w:rsidR="00490B21" w:rsidRPr="00A779DD">
        <w:rPr>
          <w:rFonts w:ascii="Arial" w:hAnsi="Arial" w:cs="Arial"/>
          <w:bCs/>
        </w:rPr>
        <w:t>2</w:t>
      </w:r>
      <w:r w:rsidR="008C5EDE" w:rsidRPr="00A779DD">
        <w:rPr>
          <w:rFonts w:ascii="Arial" w:hAnsi="Arial" w:cs="Arial"/>
          <w:bCs/>
        </w:rPr>
        <w:t xml:space="preserve">% es de </w:t>
      </w:r>
      <w:r w:rsidRPr="00A779DD">
        <w:rPr>
          <w:rFonts w:ascii="Arial" w:hAnsi="Arial" w:cs="Arial"/>
          <w:bCs/>
        </w:rPr>
        <w:t xml:space="preserve">$ </w:t>
      </w:r>
      <w:r w:rsidR="007D2694">
        <w:rPr>
          <w:rFonts w:ascii="Arial" w:hAnsi="Arial" w:cs="Arial"/>
          <w:bCs/>
        </w:rPr>
        <w:t>1’438</w:t>
      </w:r>
      <w:r w:rsidR="009C5170" w:rsidRPr="00A779DD">
        <w:rPr>
          <w:rFonts w:ascii="Arial" w:hAnsi="Arial" w:cs="Arial"/>
          <w:bCs/>
        </w:rPr>
        <w:t>,</w:t>
      </w:r>
      <w:r w:rsidR="007D2694">
        <w:rPr>
          <w:rFonts w:ascii="Arial" w:hAnsi="Arial" w:cs="Arial"/>
          <w:bCs/>
        </w:rPr>
        <w:t>033</w:t>
      </w:r>
      <w:r w:rsidR="009C5170" w:rsidRPr="00A779DD">
        <w:rPr>
          <w:rFonts w:ascii="Arial" w:hAnsi="Arial" w:cs="Arial"/>
          <w:bCs/>
        </w:rPr>
        <w:t>.</w:t>
      </w:r>
      <w:r w:rsidR="007D2694">
        <w:rPr>
          <w:rFonts w:ascii="Arial" w:hAnsi="Arial" w:cs="Arial"/>
          <w:bCs/>
        </w:rPr>
        <w:t>37</w:t>
      </w:r>
      <w:r w:rsidRPr="00A779DD">
        <w:rPr>
          <w:rFonts w:ascii="Arial" w:hAnsi="Arial" w:cs="Arial"/>
          <w:bCs/>
        </w:rPr>
        <w:t xml:space="preserve"> lo cual indica que es </w:t>
      </w:r>
      <w:r w:rsidR="008A3F36" w:rsidRPr="00A779DD">
        <w:rPr>
          <w:rFonts w:ascii="Arial" w:hAnsi="Arial" w:cs="Arial"/>
          <w:bCs/>
        </w:rPr>
        <w:t>un proyecto</w:t>
      </w:r>
      <w:r w:rsidRPr="00A779DD">
        <w:rPr>
          <w:rFonts w:ascii="Arial" w:hAnsi="Arial" w:cs="Arial"/>
          <w:bCs/>
        </w:rPr>
        <w:t xml:space="preserve"> rentable puesto que el VAN</w:t>
      </w:r>
      <w:r w:rsidR="008C5EDE" w:rsidRPr="00A779DD">
        <w:rPr>
          <w:rFonts w:ascii="Arial" w:hAnsi="Arial" w:cs="Arial"/>
          <w:bCs/>
        </w:rPr>
        <w:t>&gt;0</w:t>
      </w:r>
      <w:r w:rsidRPr="00A779DD">
        <w:rPr>
          <w:rFonts w:ascii="Arial" w:hAnsi="Arial" w:cs="Arial"/>
          <w:bCs/>
        </w:rPr>
        <w:t>.</w:t>
      </w:r>
    </w:p>
    <w:p w:rsidR="00356A55" w:rsidRPr="00A779DD" w:rsidRDefault="00356A55" w:rsidP="00EF014E">
      <w:pPr>
        <w:jc w:val="both"/>
        <w:rPr>
          <w:rFonts w:ascii="Arial" w:hAnsi="Arial" w:cs="Arial"/>
        </w:rPr>
      </w:pPr>
    </w:p>
    <w:p w:rsidR="00356A55" w:rsidRPr="00A779DD" w:rsidRDefault="00356A55" w:rsidP="00EF014E">
      <w:pPr>
        <w:jc w:val="both"/>
        <w:rPr>
          <w:rFonts w:ascii="Arial" w:hAnsi="Arial" w:cs="Arial"/>
        </w:rPr>
      </w:pPr>
    </w:p>
    <w:p w:rsidR="00F62682" w:rsidRPr="00A31420" w:rsidRDefault="004C5841" w:rsidP="00EF014E">
      <w:pPr>
        <w:jc w:val="both"/>
        <w:rPr>
          <w:rFonts w:ascii="Arial" w:hAnsi="Arial" w:cs="Arial"/>
          <w:b/>
          <w:sz w:val="28"/>
          <w:szCs w:val="28"/>
        </w:rPr>
      </w:pPr>
      <w:r w:rsidRPr="00A31420">
        <w:rPr>
          <w:rFonts w:ascii="Arial" w:hAnsi="Arial" w:cs="Arial"/>
          <w:b/>
          <w:sz w:val="28"/>
          <w:szCs w:val="28"/>
        </w:rPr>
        <w:t>5.7.3</w:t>
      </w:r>
      <w:r w:rsidR="00A31420">
        <w:rPr>
          <w:rFonts w:ascii="Arial" w:hAnsi="Arial" w:cs="Arial"/>
          <w:b/>
          <w:sz w:val="28"/>
          <w:szCs w:val="28"/>
        </w:rPr>
        <w:tab/>
        <w:t xml:space="preserve">  T</w:t>
      </w:r>
      <w:r w:rsidR="00A31420" w:rsidRPr="00A31420">
        <w:rPr>
          <w:rFonts w:ascii="Arial" w:hAnsi="Arial" w:cs="Arial"/>
          <w:b/>
          <w:sz w:val="28"/>
          <w:szCs w:val="28"/>
        </w:rPr>
        <w:t>asa interna de retorno (tir)</w:t>
      </w:r>
    </w:p>
    <w:p w:rsidR="00490B21" w:rsidRPr="00A779DD" w:rsidRDefault="00490B21" w:rsidP="00490B21">
      <w:pPr>
        <w:jc w:val="both"/>
        <w:rPr>
          <w:rFonts w:ascii="Arial" w:hAnsi="Arial" w:cs="Arial"/>
          <w:bCs/>
        </w:rPr>
      </w:pPr>
    </w:p>
    <w:p w:rsidR="00490B21" w:rsidRPr="00A779DD" w:rsidRDefault="00490B21" w:rsidP="008149BE">
      <w:pPr>
        <w:spacing w:line="480" w:lineRule="auto"/>
        <w:jc w:val="both"/>
        <w:rPr>
          <w:rFonts w:ascii="Arial" w:hAnsi="Arial" w:cs="Arial"/>
          <w:bCs/>
        </w:rPr>
      </w:pPr>
      <w:r w:rsidRPr="00A779DD">
        <w:rPr>
          <w:rFonts w:ascii="Arial" w:hAnsi="Arial" w:cs="Arial"/>
          <w:bCs/>
        </w:rPr>
        <w:t xml:space="preserve">La Tasa Interna de Retorno del proyecto, considerando los flujos de efectivo futuros y la inversión inicial, es del </w:t>
      </w:r>
      <w:r w:rsidR="00774CB6" w:rsidRPr="00A779DD">
        <w:rPr>
          <w:rFonts w:ascii="Arial" w:hAnsi="Arial" w:cs="Arial"/>
          <w:bCs/>
        </w:rPr>
        <w:t>2</w:t>
      </w:r>
      <w:r w:rsidR="007D2694">
        <w:rPr>
          <w:rFonts w:ascii="Arial" w:hAnsi="Arial" w:cs="Arial"/>
          <w:bCs/>
        </w:rPr>
        <w:t>4</w:t>
      </w:r>
      <w:r w:rsidR="00774CB6" w:rsidRPr="00A779DD">
        <w:rPr>
          <w:rFonts w:ascii="Arial" w:hAnsi="Arial" w:cs="Arial"/>
          <w:bCs/>
        </w:rPr>
        <w:t>.</w:t>
      </w:r>
      <w:r w:rsidR="007D2694">
        <w:rPr>
          <w:rFonts w:ascii="Arial" w:hAnsi="Arial" w:cs="Arial"/>
          <w:bCs/>
        </w:rPr>
        <w:t>90</w:t>
      </w:r>
      <w:r w:rsidRPr="00A779DD">
        <w:rPr>
          <w:rFonts w:ascii="Arial" w:hAnsi="Arial" w:cs="Arial"/>
          <w:bCs/>
        </w:rPr>
        <w:t xml:space="preserve">%.  La tasa obtenida indica que el proyecto </w:t>
      </w:r>
      <w:r w:rsidR="008C5EDE" w:rsidRPr="00A779DD">
        <w:rPr>
          <w:rFonts w:ascii="Arial" w:hAnsi="Arial" w:cs="Arial"/>
          <w:bCs/>
        </w:rPr>
        <w:t xml:space="preserve">es rentable puesto que el TIR </w:t>
      </w:r>
      <w:r w:rsidR="00E9759D" w:rsidRPr="00A779DD">
        <w:rPr>
          <w:rFonts w:ascii="Arial" w:hAnsi="Arial" w:cs="Arial"/>
          <w:bCs/>
        </w:rPr>
        <w:t>&gt;</w:t>
      </w:r>
      <w:r w:rsidR="008C5EDE" w:rsidRPr="00A779DD">
        <w:rPr>
          <w:rFonts w:ascii="Arial" w:hAnsi="Arial" w:cs="Arial"/>
          <w:bCs/>
        </w:rPr>
        <w:t xml:space="preserve"> </w:t>
      </w:r>
      <w:r w:rsidRPr="00A779DD">
        <w:rPr>
          <w:rFonts w:ascii="Arial" w:hAnsi="Arial" w:cs="Arial"/>
          <w:bCs/>
        </w:rPr>
        <w:t>CCPP. (</w:t>
      </w:r>
      <w:r w:rsidR="00774CB6" w:rsidRPr="00A779DD">
        <w:rPr>
          <w:rFonts w:ascii="Arial" w:hAnsi="Arial" w:cs="Arial"/>
          <w:bCs/>
        </w:rPr>
        <w:t>2</w:t>
      </w:r>
      <w:r w:rsidR="007D2694">
        <w:rPr>
          <w:rFonts w:ascii="Arial" w:hAnsi="Arial" w:cs="Arial"/>
          <w:bCs/>
        </w:rPr>
        <w:t>4</w:t>
      </w:r>
      <w:r w:rsidR="00586A3D" w:rsidRPr="00A779DD">
        <w:rPr>
          <w:rFonts w:ascii="Arial" w:hAnsi="Arial" w:cs="Arial"/>
          <w:bCs/>
        </w:rPr>
        <w:t>.</w:t>
      </w:r>
      <w:r w:rsidR="007D2694">
        <w:rPr>
          <w:rFonts w:ascii="Arial" w:hAnsi="Arial" w:cs="Arial"/>
          <w:bCs/>
        </w:rPr>
        <w:t>90</w:t>
      </w:r>
      <w:r w:rsidR="008C5EDE" w:rsidRPr="00A779DD">
        <w:rPr>
          <w:rFonts w:ascii="Arial" w:hAnsi="Arial" w:cs="Arial"/>
          <w:bCs/>
        </w:rPr>
        <w:t>% &gt; 12</w:t>
      </w:r>
      <w:r w:rsidRPr="00A779DD">
        <w:rPr>
          <w:rFonts w:ascii="Arial" w:hAnsi="Arial" w:cs="Arial"/>
          <w:bCs/>
        </w:rPr>
        <w:t>%)</w:t>
      </w:r>
    </w:p>
    <w:p w:rsidR="00F62682" w:rsidRPr="00A779DD" w:rsidRDefault="00F62682" w:rsidP="008149BE">
      <w:pPr>
        <w:spacing w:line="480" w:lineRule="auto"/>
        <w:jc w:val="both"/>
        <w:rPr>
          <w:rFonts w:ascii="Arial" w:hAnsi="Arial" w:cs="Arial"/>
        </w:rPr>
      </w:pPr>
    </w:p>
    <w:p w:rsidR="00356A55" w:rsidRPr="00A779DD" w:rsidRDefault="00356A55" w:rsidP="00EF014E">
      <w:pPr>
        <w:jc w:val="both"/>
        <w:rPr>
          <w:rFonts w:ascii="Arial" w:hAnsi="Arial" w:cs="Arial"/>
        </w:rPr>
      </w:pPr>
    </w:p>
    <w:p w:rsidR="00356A55" w:rsidRPr="00A779DD" w:rsidRDefault="00356A55" w:rsidP="00EF014E">
      <w:pPr>
        <w:jc w:val="both"/>
        <w:rPr>
          <w:rFonts w:ascii="Arial" w:hAnsi="Arial" w:cs="Arial"/>
        </w:rPr>
      </w:pPr>
    </w:p>
    <w:p w:rsidR="00F62682" w:rsidRPr="00A31420" w:rsidRDefault="00A31420" w:rsidP="00EF014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5.7.4   Í</w:t>
      </w:r>
      <w:r w:rsidRPr="00A31420">
        <w:rPr>
          <w:rFonts w:ascii="Arial" w:hAnsi="Arial" w:cs="Arial"/>
          <w:b/>
          <w:sz w:val="28"/>
          <w:szCs w:val="28"/>
        </w:rPr>
        <w:t>ndices financieros</w:t>
      </w:r>
      <w:r w:rsidR="00F62682" w:rsidRPr="00A31420">
        <w:rPr>
          <w:rFonts w:ascii="Arial" w:hAnsi="Arial" w:cs="Arial"/>
          <w:sz w:val="28"/>
          <w:szCs w:val="28"/>
        </w:rPr>
        <w:tab/>
      </w:r>
    </w:p>
    <w:p w:rsidR="00F62682" w:rsidRPr="00A779DD" w:rsidRDefault="00F62682" w:rsidP="00EF014E">
      <w:pPr>
        <w:jc w:val="both"/>
        <w:rPr>
          <w:rFonts w:ascii="Arial" w:hAnsi="Arial" w:cs="Arial"/>
        </w:rPr>
      </w:pPr>
    </w:p>
    <w:p w:rsidR="00F31254" w:rsidRPr="00A779DD" w:rsidRDefault="00F31254" w:rsidP="008149BE">
      <w:pPr>
        <w:spacing w:line="480" w:lineRule="auto"/>
        <w:jc w:val="both"/>
        <w:rPr>
          <w:rFonts w:ascii="Arial" w:hAnsi="Arial" w:cs="Arial"/>
          <w:bCs/>
        </w:rPr>
      </w:pPr>
    </w:p>
    <w:p w:rsidR="00D23BA6" w:rsidRPr="00A779DD" w:rsidRDefault="00D23BA6" w:rsidP="008149BE">
      <w:pPr>
        <w:spacing w:line="480" w:lineRule="auto"/>
        <w:jc w:val="both"/>
        <w:rPr>
          <w:rFonts w:ascii="Arial" w:hAnsi="Arial" w:cs="Arial"/>
          <w:bCs/>
        </w:rPr>
      </w:pPr>
      <w:r w:rsidRPr="00A779DD">
        <w:rPr>
          <w:rFonts w:ascii="Arial" w:hAnsi="Arial" w:cs="Arial"/>
          <w:bCs/>
        </w:rPr>
        <w:t>Los indicadores financieros</w:t>
      </w:r>
      <w:r w:rsidR="00F31254" w:rsidRPr="00A779DD">
        <w:rPr>
          <w:rStyle w:val="Refdenotaalpie"/>
          <w:rFonts w:ascii="Arial" w:hAnsi="Arial" w:cs="Arial"/>
          <w:bCs/>
        </w:rPr>
        <w:footnoteReference w:id="18"/>
      </w:r>
      <w:r w:rsidRPr="00A779DD">
        <w:rPr>
          <w:rFonts w:ascii="Arial" w:hAnsi="Arial" w:cs="Arial"/>
          <w:bCs/>
        </w:rPr>
        <w:t xml:space="preserve"> considerados para la evaluación del proyecto son los índices de liquidez, índices de administración de activos, índices de administración de deudas, y los índices de rentabilidad, mediante los cuales se muestra la situación financiera de la empresa. </w:t>
      </w:r>
    </w:p>
    <w:p w:rsidR="002C02E8" w:rsidRPr="00A779DD" w:rsidRDefault="002C02E8" w:rsidP="008149BE">
      <w:pPr>
        <w:spacing w:line="480" w:lineRule="auto"/>
        <w:jc w:val="both"/>
        <w:rPr>
          <w:rFonts w:ascii="Arial" w:hAnsi="Arial" w:cs="Arial"/>
          <w:bCs/>
          <w:i/>
        </w:rPr>
      </w:pPr>
    </w:p>
    <w:p w:rsidR="00D23BA6" w:rsidRPr="00A779DD" w:rsidRDefault="00D23BA6" w:rsidP="008149BE">
      <w:pPr>
        <w:spacing w:line="480" w:lineRule="auto"/>
        <w:jc w:val="both"/>
        <w:rPr>
          <w:rFonts w:ascii="Arial" w:hAnsi="Arial" w:cs="Arial"/>
          <w:b/>
          <w:bCs/>
          <w:i/>
        </w:rPr>
      </w:pPr>
      <w:r w:rsidRPr="00A779DD">
        <w:rPr>
          <w:rFonts w:ascii="Arial" w:hAnsi="Arial" w:cs="Arial"/>
          <w:b/>
          <w:bCs/>
          <w:i/>
        </w:rPr>
        <w:t>Índices de Liquidez</w:t>
      </w:r>
    </w:p>
    <w:p w:rsidR="00F673DE" w:rsidRPr="00A779DD" w:rsidRDefault="001D0679" w:rsidP="001F1C96">
      <w:pPr>
        <w:spacing w:line="480" w:lineRule="auto"/>
        <w:jc w:val="both"/>
        <w:rPr>
          <w:rFonts w:ascii="Arial" w:hAnsi="Arial" w:cs="Arial"/>
          <w:bCs/>
        </w:rPr>
      </w:pPr>
      <w:r w:rsidRPr="00A779DD">
        <w:rPr>
          <w:rFonts w:ascii="Arial" w:hAnsi="Arial" w:cs="Arial"/>
          <w:bCs/>
        </w:rPr>
        <w:t xml:space="preserve">La Razón Circulante para el año 2006 presenta un valor de </w:t>
      </w:r>
      <w:r w:rsidR="002112BD" w:rsidRPr="00A779DD">
        <w:rPr>
          <w:rFonts w:ascii="Arial" w:hAnsi="Arial" w:cs="Arial"/>
          <w:bCs/>
        </w:rPr>
        <w:t>9.58</w:t>
      </w:r>
      <w:r w:rsidRPr="00A779DD">
        <w:rPr>
          <w:rFonts w:ascii="Arial" w:hAnsi="Arial" w:cs="Arial"/>
          <w:bCs/>
        </w:rPr>
        <w:t xml:space="preserve"> reflejando una favorable liquidez, lo que permite </w:t>
      </w:r>
      <w:r w:rsidR="003F059E" w:rsidRPr="00A779DD">
        <w:rPr>
          <w:rFonts w:ascii="Arial" w:hAnsi="Arial" w:cs="Arial"/>
          <w:bCs/>
        </w:rPr>
        <w:t xml:space="preserve">cubrir el pago de la deuda.  Sin embargo, para el año 2011 presenta un valor de </w:t>
      </w:r>
      <w:r w:rsidR="002112BD" w:rsidRPr="00A779DD">
        <w:rPr>
          <w:rFonts w:ascii="Arial" w:hAnsi="Arial" w:cs="Arial"/>
          <w:bCs/>
        </w:rPr>
        <w:t xml:space="preserve">7.30 </w:t>
      </w:r>
      <w:r w:rsidR="003F059E" w:rsidRPr="00A779DD">
        <w:rPr>
          <w:rFonts w:ascii="Arial" w:hAnsi="Arial" w:cs="Arial"/>
          <w:bCs/>
        </w:rPr>
        <w:t xml:space="preserve"> </w:t>
      </w:r>
      <w:r w:rsidR="00F673DE" w:rsidRPr="00A779DD">
        <w:rPr>
          <w:rFonts w:ascii="Arial" w:hAnsi="Arial" w:cs="Arial"/>
          <w:bCs/>
        </w:rPr>
        <w:t>ya que aumentan los costos totales debido a aumento significativo en la generación de basura.</w:t>
      </w:r>
      <w:r w:rsidR="007108BA" w:rsidRPr="00A779DD">
        <w:rPr>
          <w:rFonts w:ascii="Arial" w:hAnsi="Arial" w:cs="Arial"/>
          <w:bCs/>
        </w:rPr>
        <w:t xml:space="preserve">   </w:t>
      </w:r>
      <w:r w:rsidR="00F673DE" w:rsidRPr="00A779DD">
        <w:rPr>
          <w:rFonts w:ascii="Arial" w:hAnsi="Arial" w:cs="Arial"/>
          <w:bCs/>
        </w:rPr>
        <w:t xml:space="preserve">De la misma forma el Capital de Trabajo </w:t>
      </w:r>
      <w:r w:rsidR="00C653BD" w:rsidRPr="00A779DD">
        <w:rPr>
          <w:rFonts w:ascii="Arial" w:hAnsi="Arial" w:cs="Arial"/>
          <w:bCs/>
        </w:rPr>
        <w:t xml:space="preserve">parte con un valor de </w:t>
      </w:r>
      <w:r w:rsidR="002112BD" w:rsidRPr="00A779DD">
        <w:rPr>
          <w:rFonts w:ascii="Arial" w:hAnsi="Arial" w:cs="Arial"/>
          <w:bCs/>
        </w:rPr>
        <w:t xml:space="preserve">984,803.77 </w:t>
      </w:r>
      <w:r w:rsidR="00C653BD" w:rsidRPr="00A779DD">
        <w:rPr>
          <w:rFonts w:ascii="Arial" w:hAnsi="Arial" w:cs="Arial"/>
          <w:bCs/>
        </w:rPr>
        <w:t>en cual se ve afectado en el año 2011 por las raz</w:t>
      </w:r>
      <w:r w:rsidR="002112BD" w:rsidRPr="00A779DD">
        <w:rPr>
          <w:rFonts w:ascii="Arial" w:hAnsi="Arial" w:cs="Arial"/>
          <w:bCs/>
        </w:rPr>
        <w:t xml:space="preserve">ones anteriormente mencionadas; </w:t>
      </w:r>
      <w:r w:rsidR="00C653BD" w:rsidRPr="00A779DD">
        <w:rPr>
          <w:rFonts w:ascii="Arial" w:hAnsi="Arial" w:cs="Arial"/>
          <w:bCs/>
        </w:rPr>
        <w:t>sin embargo</w:t>
      </w:r>
      <w:r w:rsidR="002112BD" w:rsidRPr="00A779DD">
        <w:rPr>
          <w:rFonts w:ascii="Arial" w:hAnsi="Arial" w:cs="Arial"/>
          <w:bCs/>
        </w:rPr>
        <w:t>,</w:t>
      </w:r>
      <w:r w:rsidR="00C653BD" w:rsidRPr="00A779DD">
        <w:rPr>
          <w:rFonts w:ascii="Arial" w:hAnsi="Arial" w:cs="Arial"/>
          <w:bCs/>
        </w:rPr>
        <w:t xml:space="preserve"> se mantiene un </w:t>
      </w:r>
      <w:r w:rsidR="0070551C" w:rsidRPr="00A779DD">
        <w:rPr>
          <w:rFonts w:ascii="Arial" w:hAnsi="Arial" w:cs="Arial"/>
          <w:bCs/>
        </w:rPr>
        <w:t>aceptable</w:t>
      </w:r>
      <w:r w:rsidR="00C653BD" w:rsidRPr="00A779DD">
        <w:rPr>
          <w:rFonts w:ascii="Arial" w:hAnsi="Arial" w:cs="Arial"/>
          <w:bCs/>
        </w:rPr>
        <w:t xml:space="preserve"> nivel de liquidez.</w:t>
      </w:r>
    </w:p>
    <w:p w:rsidR="00F673DE" w:rsidRPr="00A779DD" w:rsidRDefault="00F673DE" w:rsidP="008149BE">
      <w:pPr>
        <w:spacing w:line="480" w:lineRule="auto"/>
        <w:jc w:val="both"/>
        <w:rPr>
          <w:rFonts w:ascii="Arial" w:hAnsi="Arial" w:cs="Arial"/>
          <w:bCs/>
        </w:rPr>
      </w:pPr>
    </w:p>
    <w:p w:rsidR="00D23BA6" w:rsidRPr="00A779DD" w:rsidRDefault="00D23BA6" w:rsidP="008149BE">
      <w:pPr>
        <w:spacing w:line="480" w:lineRule="auto"/>
        <w:jc w:val="both"/>
        <w:rPr>
          <w:rFonts w:ascii="Arial" w:hAnsi="Arial" w:cs="Arial"/>
          <w:b/>
          <w:bCs/>
          <w:i/>
        </w:rPr>
      </w:pPr>
      <w:r w:rsidRPr="00A779DD">
        <w:rPr>
          <w:rFonts w:ascii="Arial" w:hAnsi="Arial" w:cs="Arial"/>
          <w:b/>
          <w:bCs/>
          <w:i/>
        </w:rPr>
        <w:t>Índices de Administración de Activos</w:t>
      </w:r>
      <w:r w:rsidR="00E9759D" w:rsidRPr="00A779DD">
        <w:rPr>
          <w:rFonts w:ascii="Arial" w:hAnsi="Arial" w:cs="Arial"/>
          <w:b/>
          <w:bCs/>
          <w:i/>
        </w:rPr>
        <w:t xml:space="preserve"> </w:t>
      </w:r>
    </w:p>
    <w:p w:rsidR="00E9759D" w:rsidRPr="00A779DD" w:rsidRDefault="001F1C96" w:rsidP="008149BE">
      <w:pPr>
        <w:spacing w:line="480" w:lineRule="auto"/>
        <w:jc w:val="both"/>
        <w:rPr>
          <w:rFonts w:ascii="Arial" w:hAnsi="Arial" w:cs="Arial"/>
          <w:bCs/>
        </w:rPr>
      </w:pPr>
      <w:r w:rsidRPr="00A779DD">
        <w:rPr>
          <w:rFonts w:ascii="Arial" w:hAnsi="Arial" w:cs="Arial"/>
          <w:bCs/>
        </w:rPr>
        <w:t>La Razón de Rotación de Activos Circulantes, Fijos y Totales presentan una tenden</w:t>
      </w:r>
      <w:r w:rsidR="001E57F8" w:rsidRPr="00A779DD">
        <w:rPr>
          <w:rFonts w:ascii="Arial" w:hAnsi="Arial" w:cs="Arial"/>
          <w:bCs/>
        </w:rPr>
        <w:t xml:space="preserve">cia creciente, esto se debe a que en </w:t>
      </w:r>
      <w:r w:rsidR="006432BA">
        <w:rPr>
          <w:rFonts w:ascii="Arial" w:hAnsi="Arial" w:cs="Arial"/>
          <w:bCs/>
        </w:rPr>
        <w:t xml:space="preserve">el </w:t>
      </w:r>
      <w:r w:rsidR="001E57F8" w:rsidRPr="00A779DD">
        <w:rPr>
          <w:rFonts w:ascii="Arial" w:hAnsi="Arial" w:cs="Arial"/>
          <w:bCs/>
        </w:rPr>
        <w:t>transcurso del proyecto se adquieren nuevos vehículos, maquinarias y equipos y a la vez los ingresos van creciendo  de acuerdo a la demanda.</w:t>
      </w:r>
    </w:p>
    <w:p w:rsidR="007108BA" w:rsidRPr="00A779DD" w:rsidRDefault="007108BA" w:rsidP="008149BE">
      <w:pPr>
        <w:spacing w:line="480" w:lineRule="auto"/>
        <w:jc w:val="both"/>
        <w:rPr>
          <w:rFonts w:ascii="Arial" w:hAnsi="Arial" w:cs="Arial"/>
          <w:bCs/>
          <w:i/>
        </w:rPr>
      </w:pPr>
    </w:p>
    <w:p w:rsidR="00D23BA6" w:rsidRPr="00A779DD" w:rsidRDefault="00D23BA6" w:rsidP="008149BE">
      <w:pPr>
        <w:spacing w:line="480" w:lineRule="auto"/>
        <w:jc w:val="both"/>
        <w:rPr>
          <w:rFonts w:ascii="Arial" w:hAnsi="Arial" w:cs="Arial"/>
          <w:b/>
          <w:bCs/>
          <w:i/>
        </w:rPr>
      </w:pPr>
      <w:r w:rsidRPr="00A779DD">
        <w:rPr>
          <w:rFonts w:ascii="Arial" w:hAnsi="Arial" w:cs="Arial"/>
          <w:b/>
          <w:bCs/>
          <w:i/>
        </w:rPr>
        <w:t>Índices de Administración de Deudas</w:t>
      </w:r>
    </w:p>
    <w:p w:rsidR="00E9759D" w:rsidRPr="00A779DD" w:rsidRDefault="007108BA" w:rsidP="008149BE">
      <w:pPr>
        <w:spacing w:line="480" w:lineRule="auto"/>
        <w:jc w:val="both"/>
        <w:rPr>
          <w:rFonts w:ascii="Arial" w:hAnsi="Arial" w:cs="Arial"/>
          <w:bCs/>
        </w:rPr>
      </w:pPr>
      <w:r w:rsidRPr="00A779DD">
        <w:rPr>
          <w:rFonts w:ascii="Arial" w:hAnsi="Arial" w:cs="Arial"/>
          <w:bCs/>
        </w:rPr>
        <w:t>Por medio de este ratio podemos determinar el porcentaje de</w:t>
      </w:r>
      <w:r w:rsidR="00EB2AEE" w:rsidRPr="00A779DD">
        <w:rPr>
          <w:rFonts w:ascii="Arial" w:hAnsi="Arial" w:cs="Arial"/>
          <w:bCs/>
        </w:rPr>
        <w:t xml:space="preserve"> endeudamiento del proyecto. E</w:t>
      </w:r>
      <w:r w:rsidRPr="00A779DD">
        <w:rPr>
          <w:rFonts w:ascii="Arial" w:hAnsi="Arial" w:cs="Arial"/>
          <w:bCs/>
        </w:rPr>
        <w:t xml:space="preserve">l primer año presenta un valor de </w:t>
      </w:r>
      <w:r w:rsidR="00EB2AEE" w:rsidRPr="00A779DD">
        <w:rPr>
          <w:rFonts w:ascii="Arial" w:hAnsi="Arial" w:cs="Arial"/>
          <w:bCs/>
        </w:rPr>
        <w:t>47</w:t>
      </w:r>
      <w:r w:rsidRPr="00A779DD">
        <w:rPr>
          <w:rFonts w:ascii="Arial" w:hAnsi="Arial" w:cs="Arial"/>
          <w:bCs/>
        </w:rPr>
        <w:t xml:space="preserve">% </w:t>
      </w:r>
      <w:r w:rsidR="00F1332E" w:rsidRPr="00A779DD">
        <w:rPr>
          <w:rFonts w:ascii="Arial" w:hAnsi="Arial" w:cs="Arial"/>
          <w:bCs/>
        </w:rPr>
        <w:t>que</w:t>
      </w:r>
      <w:r w:rsidRPr="00A779DD">
        <w:rPr>
          <w:rFonts w:ascii="Arial" w:hAnsi="Arial" w:cs="Arial"/>
          <w:bCs/>
        </w:rPr>
        <w:t xml:space="preserve"> va disminuyendo,  lo que indica que  partimos con un alto porcentaje de endeudamiento el cual se cancela a medida que transcurre el proyecto, llegando a ser </w:t>
      </w:r>
      <w:r w:rsidR="00B96C03" w:rsidRPr="00A779DD">
        <w:rPr>
          <w:rFonts w:ascii="Arial" w:hAnsi="Arial" w:cs="Arial"/>
          <w:bCs/>
        </w:rPr>
        <w:t xml:space="preserve"> del </w:t>
      </w:r>
      <w:r w:rsidR="00EB2AEE" w:rsidRPr="00A779DD">
        <w:rPr>
          <w:rFonts w:ascii="Arial" w:hAnsi="Arial" w:cs="Arial"/>
          <w:bCs/>
        </w:rPr>
        <w:t>3</w:t>
      </w:r>
      <w:r w:rsidR="00B96C03" w:rsidRPr="00A779DD">
        <w:rPr>
          <w:rFonts w:ascii="Arial" w:hAnsi="Arial" w:cs="Arial"/>
          <w:bCs/>
        </w:rPr>
        <w:t xml:space="preserve">% </w:t>
      </w:r>
      <w:r w:rsidRPr="00A779DD">
        <w:rPr>
          <w:rFonts w:ascii="Arial" w:hAnsi="Arial" w:cs="Arial"/>
          <w:bCs/>
        </w:rPr>
        <w:t>en los últimos años.</w:t>
      </w:r>
    </w:p>
    <w:p w:rsidR="007108BA" w:rsidRPr="00A779DD" w:rsidRDefault="007108BA" w:rsidP="008149BE">
      <w:pPr>
        <w:spacing w:line="480" w:lineRule="auto"/>
        <w:jc w:val="both"/>
        <w:rPr>
          <w:rFonts w:ascii="Arial" w:hAnsi="Arial" w:cs="Arial"/>
          <w:bCs/>
        </w:rPr>
      </w:pPr>
    </w:p>
    <w:p w:rsidR="00D23BA6" w:rsidRPr="00A779DD" w:rsidRDefault="00D23BA6" w:rsidP="008149BE">
      <w:pPr>
        <w:spacing w:line="480" w:lineRule="auto"/>
        <w:jc w:val="both"/>
        <w:rPr>
          <w:rFonts w:ascii="Arial" w:hAnsi="Arial" w:cs="Arial"/>
          <w:b/>
          <w:bCs/>
        </w:rPr>
      </w:pPr>
      <w:r w:rsidRPr="00A779DD">
        <w:rPr>
          <w:rFonts w:ascii="Arial" w:hAnsi="Arial" w:cs="Arial"/>
          <w:b/>
          <w:bCs/>
          <w:i/>
        </w:rPr>
        <w:t>Índices de Rentabilidad</w:t>
      </w:r>
    </w:p>
    <w:p w:rsidR="000130CC" w:rsidRPr="00A779DD" w:rsidRDefault="00B96C03" w:rsidP="008149BE">
      <w:pPr>
        <w:spacing w:line="480" w:lineRule="auto"/>
        <w:jc w:val="both"/>
        <w:rPr>
          <w:rFonts w:ascii="Arial" w:hAnsi="Arial" w:cs="Arial"/>
        </w:rPr>
      </w:pPr>
      <w:r w:rsidRPr="00A779DD">
        <w:rPr>
          <w:rFonts w:ascii="Arial" w:hAnsi="Arial" w:cs="Arial"/>
        </w:rPr>
        <w:t xml:space="preserve">El Margen de Utilidad  es del </w:t>
      </w:r>
      <w:r w:rsidR="0078441F" w:rsidRPr="00A779DD">
        <w:rPr>
          <w:rFonts w:ascii="Arial" w:hAnsi="Arial" w:cs="Arial"/>
        </w:rPr>
        <w:t>23</w:t>
      </w:r>
      <w:r w:rsidRPr="00A779DD">
        <w:rPr>
          <w:rFonts w:ascii="Arial" w:hAnsi="Arial" w:cs="Arial"/>
        </w:rPr>
        <w:t xml:space="preserve">%, debido a que las tarifas cobradas a los clientes representan los únicos ingresos.  A partir del año 2010, el margen disminuye ya que la utilidad </w:t>
      </w:r>
      <w:r w:rsidR="00895912" w:rsidRPr="00A779DD">
        <w:rPr>
          <w:rFonts w:ascii="Arial" w:hAnsi="Arial" w:cs="Arial"/>
        </w:rPr>
        <w:t>neta</w:t>
      </w:r>
      <w:r w:rsidRPr="00A779DD">
        <w:rPr>
          <w:rFonts w:ascii="Arial" w:hAnsi="Arial" w:cs="Arial"/>
        </w:rPr>
        <w:t xml:space="preserve"> </w:t>
      </w:r>
      <w:r w:rsidR="00895912" w:rsidRPr="00A779DD">
        <w:rPr>
          <w:rFonts w:ascii="Arial" w:hAnsi="Arial" w:cs="Arial"/>
        </w:rPr>
        <w:t xml:space="preserve"> se ve afectada por </w:t>
      </w:r>
      <w:r w:rsidRPr="00A779DD">
        <w:rPr>
          <w:rFonts w:ascii="Arial" w:hAnsi="Arial" w:cs="Arial"/>
        </w:rPr>
        <w:t xml:space="preserve"> un aumentó de los costos </w:t>
      </w:r>
      <w:r w:rsidR="00895912" w:rsidRPr="00A779DD">
        <w:rPr>
          <w:rFonts w:ascii="Arial" w:hAnsi="Arial" w:cs="Arial"/>
        </w:rPr>
        <w:t xml:space="preserve">y nuevas </w:t>
      </w:r>
      <w:r w:rsidRPr="00A779DD">
        <w:rPr>
          <w:rFonts w:ascii="Arial" w:hAnsi="Arial" w:cs="Arial"/>
        </w:rPr>
        <w:t xml:space="preserve"> inversiones</w:t>
      </w:r>
      <w:r w:rsidR="00895912" w:rsidRPr="00A779DD">
        <w:rPr>
          <w:rFonts w:ascii="Arial" w:hAnsi="Arial" w:cs="Arial"/>
        </w:rPr>
        <w:t>.</w:t>
      </w:r>
      <w:r w:rsidR="00071D59" w:rsidRPr="00A779DD">
        <w:rPr>
          <w:rFonts w:ascii="Arial" w:hAnsi="Arial" w:cs="Arial"/>
        </w:rPr>
        <w:t xml:space="preserve">  Por otro lado se puede observar que el Costo de Producción  el año 20</w:t>
      </w:r>
      <w:r w:rsidR="00F1332E" w:rsidRPr="00A779DD">
        <w:rPr>
          <w:rFonts w:ascii="Arial" w:hAnsi="Arial" w:cs="Arial"/>
        </w:rPr>
        <w:t>0</w:t>
      </w:r>
      <w:r w:rsidR="0078441F" w:rsidRPr="00A779DD">
        <w:rPr>
          <w:rFonts w:ascii="Arial" w:hAnsi="Arial" w:cs="Arial"/>
        </w:rPr>
        <w:t>6 es de 66</w:t>
      </w:r>
      <w:r w:rsidR="00071D59" w:rsidRPr="00A779DD">
        <w:rPr>
          <w:rFonts w:ascii="Arial" w:hAnsi="Arial" w:cs="Arial"/>
        </w:rPr>
        <w:t xml:space="preserve">%  mientras que para el año 2015 alcanza proporciones del </w:t>
      </w:r>
      <w:r w:rsidR="0078441F" w:rsidRPr="00A779DD">
        <w:rPr>
          <w:rFonts w:ascii="Arial" w:hAnsi="Arial" w:cs="Arial"/>
        </w:rPr>
        <w:t>77</w:t>
      </w:r>
      <w:r w:rsidR="00071D59" w:rsidRPr="00A779DD">
        <w:rPr>
          <w:rFonts w:ascii="Arial" w:hAnsi="Arial" w:cs="Arial"/>
        </w:rPr>
        <w:t>% debido a que a medida que pasa el tiempo el proyecto utiliza la totalidad de su capacidad de  producción.</w:t>
      </w:r>
      <w:r w:rsidR="0078441F" w:rsidRPr="00A779DD">
        <w:rPr>
          <w:rFonts w:ascii="Arial" w:hAnsi="Arial" w:cs="Arial"/>
        </w:rPr>
        <w:t xml:space="preserve"> </w:t>
      </w:r>
      <w:r w:rsidR="000130CC" w:rsidRPr="00A779DD">
        <w:rPr>
          <w:rFonts w:ascii="Arial" w:hAnsi="Arial" w:cs="Arial"/>
        </w:rPr>
        <w:t xml:space="preserve">Para finalizar el análisis </w:t>
      </w:r>
      <w:r w:rsidR="00F1332E" w:rsidRPr="00A779DD">
        <w:rPr>
          <w:rFonts w:ascii="Arial" w:hAnsi="Arial" w:cs="Arial"/>
        </w:rPr>
        <w:t xml:space="preserve"> de  los Índices de Rentabilidad </w:t>
      </w:r>
      <w:r w:rsidR="000130CC" w:rsidRPr="00A779DD">
        <w:rPr>
          <w:rFonts w:ascii="Arial" w:hAnsi="Arial" w:cs="Arial"/>
        </w:rPr>
        <w:t>se observa que</w:t>
      </w:r>
      <w:r w:rsidR="00F1332E" w:rsidRPr="00A779DD">
        <w:rPr>
          <w:rFonts w:ascii="Arial" w:hAnsi="Arial" w:cs="Arial"/>
        </w:rPr>
        <w:t xml:space="preserve">, </w:t>
      </w:r>
      <w:r w:rsidR="000130CC" w:rsidRPr="00A779DD">
        <w:rPr>
          <w:rFonts w:ascii="Arial" w:hAnsi="Arial" w:cs="Arial"/>
        </w:rPr>
        <w:t xml:space="preserve"> para el caso del ROI y  del ROA los niveles en el año 20</w:t>
      </w:r>
      <w:r w:rsidR="0039120F" w:rsidRPr="00A779DD">
        <w:rPr>
          <w:rFonts w:ascii="Arial" w:hAnsi="Arial" w:cs="Arial"/>
        </w:rPr>
        <w:t>06</w:t>
      </w:r>
      <w:r w:rsidR="000130CC" w:rsidRPr="00A779DD">
        <w:rPr>
          <w:rFonts w:ascii="Arial" w:hAnsi="Arial" w:cs="Arial"/>
        </w:rPr>
        <w:t xml:space="preserve"> corresponden al </w:t>
      </w:r>
      <w:r w:rsidR="0039120F" w:rsidRPr="00A779DD">
        <w:rPr>
          <w:rFonts w:ascii="Arial" w:hAnsi="Arial" w:cs="Arial"/>
        </w:rPr>
        <w:t>1</w:t>
      </w:r>
      <w:r w:rsidR="0078441F" w:rsidRPr="00A779DD">
        <w:rPr>
          <w:rFonts w:ascii="Arial" w:hAnsi="Arial" w:cs="Arial"/>
        </w:rPr>
        <w:t>6</w:t>
      </w:r>
      <w:r w:rsidR="000130CC" w:rsidRPr="00A779DD">
        <w:rPr>
          <w:rFonts w:ascii="Arial" w:hAnsi="Arial" w:cs="Arial"/>
        </w:rPr>
        <w:t xml:space="preserve">% y </w:t>
      </w:r>
      <w:r w:rsidR="0078441F" w:rsidRPr="00A779DD">
        <w:rPr>
          <w:rFonts w:ascii="Arial" w:hAnsi="Arial" w:cs="Arial"/>
        </w:rPr>
        <w:t>31</w:t>
      </w:r>
      <w:r w:rsidR="000130CC" w:rsidRPr="00A779DD">
        <w:rPr>
          <w:rFonts w:ascii="Arial" w:hAnsi="Arial" w:cs="Arial"/>
        </w:rPr>
        <w:t>% respectivamente, con lo cual se demuestra que existe eficiencia en el manejo de las operaciones obteniendo un rendimiento  aceptable del Capital de Trabajo</w:t>
      </w:r>
      <w:r w:rsidR="00281513" w:rsidRPr="00A779DD">
        <w:rPr>
          <w:rFonts w:ascii="Arial" w:hAnsi="Arial" w:cs="Arial"/>
        </w:rPr>
        <w:t xml:space="preserve">. Pero éstos índices presentan una tendencia decreciente </w:t>
      </w:r>
      <w:r w:rsidR="00EC656E" w:rsidRPr="00A779DD">
        <w:rPr>
          <w:rFonts w:ascii="Arial" w:hAnsi="Arial" w:cs="Arial"/>
        </w:rPr>
        <w:t xml:space="preserve">siendo el año 2011 del </w:t>
      </w:r>
      <w:r w:rsidR="0078441F" w:rsidRPr="00A779DD">
        <w:rPr>
          <w:rFonts w:ascii="Arial" w:hAnsi="Arial" w:cs="Arial"/>
        </w:rPr>
        <w:t>10% para ambos casos</w:t>
      </w:r>
      <w:r w:rsidR="00EC656E" w:rsidRPr="00A779DD">
        <w:rPr>
          <w:rFonts w:ascii="Arial" w:hAnsi="Arial" w:cs="Arial"/>
        </w:rPr>
        <w:t xml:space="preserve">, </w:t>
      </w:r>
      <w:r w:rsidR="00281513" w:rsidRPr="00A779DD">
        <w:rPr>
          <w:rFonts w:ascii="Arial" w:hAnsi="Arial" w:cs="Arial"/>
        </w:rPr>
        <w:t xml:space="preserve">esto se debe a </w:t>
      </w:r>
      <w:r w:rsidR="00EC656E" w:rsidRPr="00A779DD">
        <w:rPr>
          <w:rFonts w:ascii="Arial" w:hAnsi="Arial" w:cs="Arial"/>
        </w:rPr>
        <w:t xml:space="preserve">que </w:t>
      </w:r>
      <w:r w:rsidR="00281513" w:rsidRPr="00A779DD">
        <w:rPr>
          <w:rFonts w:ascii="Arial" w:hAnsi="Arial" w:cs="Arial"/>
        </w:rPr>
        <w:t xml:space="preserve">la Utilidad Neta disminuye por un aumento en </w:t>
      </w:r>
      <w:r w:rsidR="00F933A8" w:rsidRPr="00A779DD">
        <w:rPr>
          <w:rFonts w:ascii="Arial" w:hAnsi="Arial" w:cs="Arial"/>
        </w:rPr>
        <w:t xml:space="preserve">los costos y </w:t>
      </w:r>
      <w:r w:rsidR="00281513" w:rsidRPr="00A779DD">
        <w:rPr>
          <w:rFonts w:ascii="Arial" w:hAnsi="Arial" w:cs="Arial"/>
        </w:rPr>
        <w:t xml:space="preserve">las  inversiones.  </w:t>
      </w:r>
    </w:p>
    <w:p w:rsidR="00A31420" w:rsidRDefault="00A31420" w:rsidP="00EF014E">
      <w:pPr>
        <w:jc w:val="both"/>
        <w:rPr>
          <w:rFonts w:ascii="Arial" w:hAnsi="Arial" w:cs="Arial"/>
          <w:b/>
          <w:sz w:val="28"/>
          <w:szCs w:val="28"/>
        </w:rPr>
      </w:pPr>
    </w:p>
    <w:p w:rsidR="00F62682" w:rsidRPr="00A31420" w:rsidRDefault="004C5841" w:rsidP="00EF014E">
      <w:pPr>
        <w:jc w:val="both"/>
        <w:rPr>
          <w:rFonts w:ascii="Arial" w:hAnsi="Arial" w:cs="Arial"/>
          <w:b/>
          <w:sz w:val="28"/>
          <w:szCs w:val="28"/>
        </w:rPr>
      </w:pPr>
      <w:r w:rsidRPr="00A31420">
        <w:rPr>
          <w:rFonts w:ascii="Arial" w:hAnsi="Arial" w:cs="Arial"/>
          <w:b/>
          <w:sz w:val="28"/>
          <w:szCs w:val="28"/>
        </w:rPr>
        <w:t>5.7.5</w:t>
      </w:r>
      <w:r w:rsidR="00A31420" w:rsidRPr="00A31420">
        <w:rPr>
          <w:rFonts w:ascii="Arial" w:hAnsi="Arial" w:cs="Arial"/>
          <w:b/>
          <w:sz w:val="28"/>
          <w:szCs w:val="28"/>
        </w:rPr>
        <w:tab/>
      </w:r>
      <w:r w:rsidR="00A31420">
        <w:rPr>
          <w:rFonts w:ascii="Arial" w:hAnsi="Arial" w:cs="Arial"/>
          <w:b/>
          <w:sz w:val="28"/>
          <w:szCs w:val="28"/>
        </w:rPr>
        <w:t xml:space="preserve">  A</w:t>
      </w:r>
      <w:r w:rsidR="00A31420" w:rsidRPr="00A31420">
        <w:rPr>
          <w:rFonts w:ascii="Arial" w:hAnsi="Arial" w:cs="Arial"/>
          <w:b/>
          <w:sz w:val="28"/>
          <w:szCs w:val="28"/>
        </w:rPr>
        <w:t>nálisis de sensibilidad</w:t>
      </w:r>
    </w:p>
    <w:p w:rsidR="00F62682" w:rsidRPr="00A779DD" w:rsidRDefault="00F62682" w:rsidP="00F62682">
      <w:pPr>
        <w:jc w:val="both"/>
        <w:rPr>
          <w:rFonts w:ascii="Arial" w:hAnsi="Arial" w:cs="Arial"/>
        </w:rPr>
      </w:pPr>
      <w:r w:rsidRPr="00A779DD">
        <w:rPr>
          <w:rFonts w:ascii="Arial" w:hAnsi="Arial" w:cs="Arial"/>
        </w:rPr>
        <w:t xml:space="preserve"> </w:t>
      </w:r>
    </w:p>
    <w:p w:rsidR="00D9524E" w:rsidRPr="00A779DD" w:rsidRDefault="00D9524E">
      <w:pPr>
        <w:rPr>
          <w:rFonts w:ascii="Arial" w:hAnsi="Arial" w:cs="Arial"/>
        </w:rPr>
      </w:pPr>
    </w:p>
    <w:p w:rsidR="00AE0A1B" w:rsidRPr="00A779DD" w:rsidRDefault="00AE0A1B" w:rsidP="00AE0A1B">
      <w:pPr>
        <w:spacing w:line="480" w:lineRule="auto"/>
        <w:jc w:val="both"/>
        <w:rPr>
          <w:rFonts w:ascii="Arial" w:hAnsi="Arial" w:cs="Arial"/>
          <w:bCs/>
        </w:rPr>
      </w:pPr>
      <w:r w:rsidRPr="00A779DD">
        <w:rPr>
          <w:rFonts w:ascii="Arial" w:hAnsi="Arial" w:cs="Arial"/>
          <w:bCs/>
        </w:rPr>
        <w:t>Considerando los cambios</w:t>
      </w:r>
      <w:r w:rsidR="00546D15" w:rsidRPr="00A779DD">
        <w:rPr>
          <w:rFonts w:ascii="Arial" w:hAnsi="Arial" w:cs="Arial"/>
          <w:bCs/>
        </w:rPr>
        <w:t xml:space="preserve"> que puedan darse en el mercado </w:t>
      </w:r>
      <w:r w:rsidRPr="00A779DD">
        <w:rPr>
          <w:rFonts w:ascii="Arial" w:hAnsi="Arial" w:cs="Arial"/>
          <w:bCs/>
        </w:rPr>
        <w:t>que a su vez dependen de factores internos como externos, es necesario realizar una simulación de estas  posibles situaciones futuras que permitan a la administración tomar de antemano  decisiones para enfrentar estas posibles dificultades.</w:t>
      </w:r>
    </w:p>
    <w:p w:rsidR="00AE0A1B" w:rsidRPr="00A779DD" w:rsidRDefault="00AE0A1B" w:rsidP="00AE0A1B">
      <w:pPr>
        <w:spacing w:line="480" w:lineRule="auto"/>
        <w:jc w:val="both"/>
        <w:rPr>
          <w:rFonts w:ascii="Arial" w:hAnsi="Arial" w:cs="Arial"/>
          <w:bCs/>
        </w:rPr>
      </w:pPr>
    </w:p>
    <w:p w:rsidR="0079480E" w:rsidRPr="00A779DD" w:rsidRDefault="00AE0A1B" w:rsidP="00AE0A1B">
      <w:pPr>
        <w:spacing w:line="480" w:lineRule="auto"/>
        <w:jc w:val="both"/>
        <w:rPr>
          <w:rFonts w:ascii="Arial" w:hAnsi="Arial" w:cs="Arial"/>
          <w:bCs/>
        </w:rPr>
      </w:pPr>
      <w:r w:rsidRPr="00A779DD">
        <w:rPr>
          <w:rFonts w:ascii="Arial" w:hAnsi="Arial" w:cs="Arial"/>
          <w:bCs/>
        </w:rPr>
        <w:t xml:space="preserve">Por </w:t>
      </w:r>
      <w:r w:rsidR="00A54918" w:rsidRPr="00A779DD">
        <w:rPr>
          <w:rFonts w:ascii="Arial" w:hAnsi="Arial" w:cs="Arial"/>
          <w:bCs/>
        </w:rPr>
        <w:t>este motivo,</w:t>
      </w:r>
      <w:r w:rsidRPr="00A779DD">
        <w:rPr>
          <w:rFonts w:ascii="Arial" w:hAnsi="Arial" w:cs="Arial"/>
          <w:bCs/>
        </w:rPr>
        <w:t xml:space="preserve"> se han simulado posibles escenarios donde se presenten variaciones del 10% y 15% en los rubros </w:t>
      </w:r>
      <w:r w:rsidR="00A54918" w:rsidRPr="00A779DD">
        <w:rPr>
          <w:rFonts w:ascii="Arial" w:hAnsi="Arial" w:cs="Arial"/>
          <w:bCs/>
        </w:rPr>
        <w:t>más</w:t>
      </w:r>
      <w:r w:rsidRPr="00A779DD">
        <w:rPr>
          <w:rFonts w:ascii="Arial" w:hAnsi="Arial" w:cs="Arial"/>
          <w:bCs/>
        </w:rPr>
        <w:t xml:space="preserve"> representativos del pro</w:t>
      </w:r>
      <w:r w:rsidR="00A54918" w:rsidRPr="00A779DD">
        <w:rPr>
          <w:rFonts w:ascii="Arial" w:hAnsi="Arial" w:cs="Arial"/>
          <w:bCs/>
        </w:rPr>
        <w:t>yecto como son: cobro de las tarifas y los costos. Esto lo podemos observar en los cuadros que se presentan a continuación:</w:t>
      </w:r>
    </w:p>
    <w:p w:rsidR="0092724E" w:rsidRDefault="0092724E" w:rsidP="0092724E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92724E" w:rsidRDefault="0092724E" w:rsidP="0092724E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92724E" w:rsidRDefault="0092724E" w:rsidP="0092724E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 xml:space="preserve">TABLA 5.5: </w:t>
      </w:r>
      <w:r w:rsidR="00E254C7">
        <w:rPr>
          <w:rFonts w:ascii="Arial" w:hAnsi="Arial" w:cs="Arial"/>
          <w:b/>
          <w:bCs/>
          <w:caps/>
          <w:sz w:val="20"/>
          <w:szCs w:val="20"/>
        </w:rPr>
        <w:t>análisis de sensibilidad del proyecto</w:t>
      </w:r>
    </w:p>
    <w:p w:rsidR="0092724E" w:rsidRDefault="0092724E" w:rsidP="0092724E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8160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320"/>
        <w:gridCol w:w="4800"/>
        <w:gridCol w:w="1520"/>
        <w:gridCol w:w="1520"/>
      </w:tblGrid>
      <w:tr w:rsidR="00196621">
        <w:trPr>
          <w:trHeight w:val="25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621" w:rsidRDefault="00196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96621" w:rsidRDefault="001966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SUPUESTOS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96621" w:rsidRDefault="001966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96621" w:rsidRDefault="001966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TIR</w:t>
            </w:r>
          </w:p>
        </w:tc>
      </w:tr>
      <w:tr w:rsidR="00196621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96621" w:rsidRDefault="001966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621" w:rsidRDefault="001966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Situación Inicial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621" w:rsidRDefault="001966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1.438.033,37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621" w:rsidRDefault="001966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24,90%</w:t>
            </w:r>
          </w:p>
        </w:tc>
      </w:tr>
      <w:tr w:rsidR="00196621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96621" w:rsidRDefault="001966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621" w:rsidRDefault="001966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Incremento del 10% en el cobro de las tarifas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621" w:rsidRDefault="001966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2.984.527,67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621" w:rsidRDefault="001966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37,66%</w:t>
            </w:r>
          </w:p>
        </w:tc>
      </w:tr>
      <w:tr w:rsidR="00196621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96621" w:rsidRDefault="001966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621" w:rsidRDefault="001966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Disminución del 10% en el cobro de las tarifas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621" w:rsidRDefault="001966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        108.460,93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621" w:rsidRDefault="001966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10,97%</w:t>
            </w:r>
          </w:p>
        </w:tc>
      </w:tr>
      <w:tr w:rsidR="00196621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96621" w:rsidRDefault="001966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621" w:rsidRDefault="001966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Incremento del 10% en los costos totales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621" w:rsidRDefault="001966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354.202,62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621" w:rsidRDefault="001966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15,34%</w:t>
            </w:r>
          </w:p>
        </w:tc>
      </w:tr>
      <w:tr w:rsidR="00196621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96621" w:rsidRDefault="001966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621" w:rsidRDefault="001966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Disminución del 10% en los costos totales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621" w:rsidRDefault="001966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2.521.864,11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621" w:rsidRDefault="001966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33,72%</w:t>
            </w:r>
          </w:p>
        </w:tc>
      </w:tr>
    </w:tbl>
    <w:p w:rsidR="00196621" w:rsidRDefault="00196621" w:rsidP="00196621">
      <w:pPr>
        <w:jc w:val="center"/>
        <w:rPr>
          <w:rFonts w:ascii="Arial" w:hAnsi="Arial" w:cs="Arial"/>
          <w:b/>
          <w:sz w:val="16"/>
          <w:szCs w:val="16"/>
        </w:rPr>
      </w:pPr>
    </w:p>
    <w:p w:rsidR="00196621" w:rsidRPr="007A2653" w:rsidRDefault="00196621" w:rsidP="00196621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Elaborado por los autora</w:t>
      </w:r>
      <w:r w:rsidRPr="007A2653">
        <w:rPr>
          <w:rFonts w:ascii="Arial" w:hAnsi="Arial" w:cs="Arial"/>
          <w:b/>
          <w:sz w:val="16"/>
          <w:szCs w:val="16"/>
        </w:rPr>
        <w:t>s</w:t>
      </w:r>
    </w:p>
    <w:p w:rsidR="0092724E" w:rsidRPr="00A779DD" w:rsidRDefault="0092724E" w:rsidP="0092724E">
      <w:pPr>
        <w:jc w:val="center"/>
        <w:rPr>
          <w:rFonts w:ascii="Arial" w:hAnsi="Arial" w:cs="Arial"/>
        </w:rPr>
      </w:pPr>
    </w:p>
    <w:p w:rsidR="0092724E" w:rsidRDefault="0092724E" w:rsidP="0092724E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92724E" w:rsidRDefault="0092724E" w:rsidP="0092724E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 xml:space="preserve">TABLA 5.6: </w:t>
      </w:r>
      <w:r w:rsidR="00E254C7">
        <w:rPr>
          <w:rFonts w:ascii="Arial" w:hAnsi="Arial" w:cs="Arial"/>
          <w:b/>
          <w:bCs/>
          <w:caps/>
          <w:sz w:val="20"/>
          <w:szCs w:val="20"/>
        </w:rPr>
        <w:t>análisis de sensibilidad del proyecto</w:t>
      </w:r>
    </w:p>
    <w:tbl>
      <w:tblPr>
        <w:tblW w:w="8160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320"/>
        <w:gridCol w:w="4800"/>
        <w:gridCol w:w="1520"/>
        <w:gridCol w:w="1520"/>
      </w:tblGrid>
      <w:tr w:rsidR="00196621">
        <w:trPr>
          <w:trHeight w:val="25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621" w:rsidRDefault="00196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96621" w:rsidRDefault="001966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SUPUESTOS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96621" w:rsidRDefault="001966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96621" w:rsidRDefault="001966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TIR</w:t>
            </w:r>
          </w:p>
        </w:tc>
      </w:tr>
      <w:tr w:rsidR="00196621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96621" w:rsidRDefault="001966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621" w:rsidRDefault="001966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Situación Inicial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621" w:rsidRDefault="001966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1.438.033,37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621" w:rsidRDefault="001966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24,90%</w:t>
            </w:r>
          </w:p>
        </w:tc>
      </w:tr>
      <w:tr w:rsidR="00196621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96621" w:rsidRDefault="001966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621" w:rsidRDefault="001966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Incremento del 15% en el cobro de las tarifas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621" w:rsidRDefault="001966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3.719.067,16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621" w:rsidRDefault="001966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43,70%</w:t>
            </w:r>
          </w:p>
        </w:tc>
      </w:tr>
      <w:tr w:rsidR="00196621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96621" w:rsidRDefault="001966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621" w:rsidRDefault="001966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Disminución del 15% en el cobro de las tarifas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621" w:rsidRDefault="001966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        881.708,09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621" w:rsidRDefault="001966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3,36%</w:t>
            </w:r>
          </w:p>
        </w:tc>
      </w:tr>
      <w:tr w:rsidR="00196621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96621" w:rsidRDefault="001966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621" w:rsidRDefault="001966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Incremento del 15% en los costos totales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621" w:rsidRDefault="001966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        187.712,75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621" w:rsidRDefault="001966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10,17%</w:t>
            </w:r>
          </w:p>
        </w:tc>
      </w:tr>
      <w:tr w:rsidR="00196621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96621" w:rsidRDefault="001966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621" w:rsidRDefault="001966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Disminución del 15% en los costos totales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621" w:rsidRDefault="001966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3.063.779,49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621" w:rsidRDefault="001966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37,94%</w:t>
            </w:r>
          </w:p>
        </w:tc>
      </w:tr>
    </w:tbl>
    <w:p w:rsidR="0092724E" w:rsidRDefault="0092724E" w:rsidP="0092724E">
      <w:pPr>
        <w:jc w:val="center"/>
        <w:rPr>
          <w:rFonts w:ascii="Arial" w:hAnsi="Arial" w:cs="Arial"/>
          <w:b/>
          <w:sz w:val="16"/>
          <w:szCs w:val="16"/>
        </w:rPr>
      </w:pPr>
    </w:p>
    <w:p w:rsidR="0092724E" w:rsidRPr="007A2653" w:rsidRDefault="0092724E" w:rsidP="0092724E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Elaborado por los autora</w:t>
      </w:r>
      <w:r w:rsidRPr="007A2653">
        <w:rPr>
          <w:rFonts w:ascii="Arial" w:hAnsi="Arial" w:cs="Arial"/>
          <w:b/>
          <w:sz w:val="16"/>
          <w:szCs w:val="16"/>
        </w:rPr>
        <w:t>s</w:t>
      </w:r>
    </w:p>
    <w:p w:rsidR="0092724E" w:rsidRDefault="0092724E" w:rsidP="0092724E">
      <w:pPr>
        <w:jc w:val="center"/>
        <w:rPr>
          <w:rFonts w:ascii="Arial" w:hAnsi="Arial" w:cs="Arial"/>
        </w:rPr>
      </w:pPr>
    </w:p>
    <w:p w:rsidR="0092724E" w:rsidRPr="00A779DD" w:rsidRDefault="0092724E" w:rsidP="0092724E">
      <w:pPr>
        <w:jc w:val="center"/>
        <w:rPr>
          <w:rFonts w:ascii="Arial" w:hAnsi="Arial" w:cs="Arial"/>
        </w:rPr>
      </w:pPr>
    </w:p>
    <w:p w:rsidR="00B37653" w:rsidRPr="00A779DD" w:rsidRDefault="008E7140" w:rsidP="00AF1FDA">
      <w:pPr>
        <w:spacing w:line="480" w:lineRule="auto"/>
        <w:jc w:val="both"/>
        <w:rPr>
          <w:rFonts w:ascii="Arial" w:hAnsi="Arial" w:cs="Arial"/>
          <w:bCs/>
        </w:rPr>
      </w:pPr>
      <w:r w:rsidRPr="00A779DD">
        <w:rPr>
          <w:rFonts w:ascii="Arial" w:hAnsi="Arial" w:cs="Arial"/>
          <w:bCs/>
        </w:rPr>
        <w:t>Podemos concluir que el proyecto es sensible a la disminución de las tarifas, presentando valores no rentables, en c</w:t>
      </w:r>
      <w:r w:rsidR="00AF1FDA" w:rsidRPr="00A779DD">
        <w:rPr>
          <w:rFonts w:ascii="Arial" w:hAnsi="Arial" w:cs="Arial"/>
          <w:bCs/>
        </w:rPr>
        <w:t>ualquiera de los dos supuestos, p</w:t>
      </w:r>
      <w:r w:rsidRPr="00A779DD">
        <w:rPr>
          <w:rFonts w:ascii="Arial" w:hAnsi="Arial" w:cs="Arial"/>
          <w:bCs/>
        </w:rPr>
        <w:t xml:space="preserve">or otro lado </w:t>
      </w:r>
      <w:r w:rsidR="005A5217">
        <w:rPr>
          <w:rFonts w:ascii="Arial" w:hAnsi="Arial" w:cs="Arial"/>
          <w:bCs/>
        </w:rPr>
        <w:t xml:space="preserve">los </w:t>
      </w:r>
      <w:r w:rsidRPr="00A779DD">
        <w:rPr>
          <w:rFonts w:ascii="Arial" w:hAnsi="Arial" w:cs="Arial"/>
          <w:bCs/>
        </w:rPr>
        <w:t xml:space="preserve">costos se ven afectados por un aumento del </w:t>
      </w:r>
      <w:r w:rsidR="00546D15" w:rsidRPr="00A779DD">
        <w:rPr>
          <w:rFonts w:ascii="Arial" w:hAnsi="Arial" w:cs="Arial"/>
          <w:bCs/>
        </w:rPr>
        <w:t>10% y 15%</w:t>
      </w:r>
      <w:r w:rsidR="00AF1FDA" w:rsidRPr="00A779DD">
        <w:rPr>
          <w:rFonts w:ascii="Arial" w:hAnsi="Arial" w:cs="Arial"/>
          <w:bCs/>
        </w:rPr>
        <w:t>.</w:t>
      </w:r>
      <w:r w:rsidR="0079480E" w:rsidRPr="00A779DD">
        <w:rPr>
          <w:rFonts w:ascii="Arial" w:hAnsi="Arial" w:cs="Arial"/>
          <w:bCs/>
        </w:rPr>
        <w:t xml:space="preserve">  Esto se puede observar gráficamente en los siguientes cuadros:</w:t>
      </w:r>
    </w:p>
    <w:p w:rsidR="000A6E9E" w:rsidRPr="00A779DD" w:rsidRDefault="000A6E9E" w:rsidP="0079480E">
      <w:pPr>
        <w:jc w:val="center"/>
        <w:rPr>
          <w:rFonts w:ascii="Arial" w:hAnsi="Arial" w:cs="Arial"/>
          <w:b/>
          <w:bCs/>
        </w:rPr>
      </w:pPr>
    </w:p>
    <w:p w:rsidR="000A6E9E" w:rsidRPr="00A779DD" w:rsidRDefault="000A6E9E" w:rsidP="0079480E">
      <w:pPr>
        <w:jc w:val="center"/>
        <w:rPr>
          <w:rFonts w:ascii="Arial" w:hAnsi="Arial" w:cs="Arial"/>
          <w:b/>
          <w:bCs/>
        </w:rPr>
      </w:pPr>
    </w:p>
    <w:p w:rsidR="000A6E9E" w:rsidRPr="00A779DD" w:rsidRDefault="000A6E9E" w:rsidP="0079480E">
      <w:pPr>
        <w:jc w:val="center"/>
        <w:rPr>
          <w:rFonts w:ascii="Arial" w:hAnsi="Arial" w:cs="Arial"/>
          <w:b/>
          <w:bCs/>
        </w:rPr>
      </w:pPr>
    </w:p>
    <w:p w:rsidR="000A6E9E" w:rsidRPr="00A779DD" w:rsidRDefault="000A6E9E" w:rsidP="0079480E">
      <w:pPr>
        <w:jc w:val="center"/>
        <w:rPr>
          <w:rFonts w:ascii="Arial" w:hAnsi="Arial" w:cs="Arial"/>
          <w:b/>
          <w:bCs/>
        </w:rPr>
      </w:pPr>
    </w:p>
    <w:p w:rsidR="0079480E" w:rsidRPr="00C41306" w:rsidRDefault="00F335D4" w:rsidP="0079480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41306">
        <w:rPr>
          <w:rFonts w:ascii="Arial" w:hAnsi="Arial" w:cs="Arial"/>
          <w:b/>
          <w:bCs/>
          <w:sz w:val="20"/>
          <w:szCs w:val="20"/>
        </w:rPr>
        <w:t>GRÁFICO 5.2: ANÁLISIS DE SENSIBILIDAD DEL PROYECTO</w:t>
      </w:r>
    </w:p>
    <w:p w:rsidR="0079480E" w:rsidRPr="00C41306" w:rsidRDefault="00F335D4" w:rsidP="0079480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41306">
        <w:rPr>
          <w:rFonts w:ascii="Arial" w:hAnsi="Arial" w:cs="Arial"/>
          <w:b/>
          <w:bCs/>
          <w:sz w:val="20"/>
          <w:szCs w:val="20"/>
        </w:rPr>
        <w:t>VARIACIÓN 10%</w:t>
      </w:r>
    </w:p>
    <w:p w:rsidR="00E84AF4" w:rsidRPr="00C41306" w:rsidRDefault="00E84AF4" w:rsidP="0079480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7360C" w:rsidRPr="00A779DD" w:rsidRDefault="00C17E2A" w:rsidP="00AF1FDA">
      <w:pPr>
        <w:spacing w:line="480" w:lineRule="auto"/>
        <w:jc w:val="both"/>
      </w:pPr>
      <w:r>
        <w:rPr>
          <w:noProof/>
        </w:rPr>
        <w:drawing>
          <wp:inline distT="0" distB="0" distL="0" distR="0">
            <wp:extent cx="5181600" cy="3781425"/>
            <wp:effectExtent l="0" t="0" r="0" b="0"/>
            <wp:docPr id="2" name="Objet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6739C" w:rsidRDefault="00D6739C" w:rsidP="0079480E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Fuente: Flujo de Caja proyectado del Proyecto</w:t>
      </w:r>
    </w:p>
    <w:p w:rsidR="00AB6E1D" w:rsidRDefault="00D6739C" w:rsidP="0079480E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Elaborado por los autores</w:t>
      </w:r>
    </w:p>
    <w:p w:rsidR="00D6739C" w:rsidRPr="00A779DD" w:rsidRDefault="00D6739C" w:rsidP="0079480E">
      <w:pPr>
        <w:jc w:val="center"/>
        <w:rPr>
          <w:rFonts w:ascii="Arial" w:hAnsi="Arial" w:cs="Arial"/>
          <w:b/>
          <w:bCs/>
        </w:rPr>
      </w:pPr>
    </w:p>
    <w:p w:rsidR="000A6E9E" w:rsidRPr="00A779DD" w:rsidRDefault="000A6E9E" w:rsidP="0079480E">
      <w:pPr>
        <w:jc w:val="center"/>
        <w:rPr>
          <w:rFonts w:ascii="Arial" w:hAnsi="Arial" w:cs="Arial"/>
          <w:b/>
          <w:bCs/>
        </w:rPr>
      </w:pPr>
    </w:p>
    <w:p w:rsidR="000A6E9E" w:rsidRPr="00A779DD" w:rsidRDefault="000A6E9E" w:rsidP="0079480E">
      <w:pPr>
        <w:jc w:val="center"/>
        <w:rPr>
          <w:rFonts w:ascii="Arial" w:hAnsi="Arial" w:cs="Arial"/>
          <w:b/>
          <w:bCs/>
        </w:rPr>
      </w:pPr>
    </w:p>
    <w:p w:rsidR="000A6E9E" w:rsidRDefault="000A6E9E" w:rsidP="0079480E">
      <w:pPr>
        <w:jc w:val="center"/>
        <w:rPr>
          <w:rFonts w:ascii="Arial" w:hAnsi="Arial" w:cs="Arial"/>
          <w:b/>
          <w:bCs/>
        </w:rPr>
      </w:pPr>
    </w:p>
    <w:p w:rsidR="00D6739C" w:rsidRPr="00A779DD" w:rsidRDefault="00D6739C" w:rsidP="0079480E">
      <w:pPr>
        <w:jc w:val="center"/>
        <w:rPr>
          <w:rFonts w:ascii="Arial" w:hAnsi="Arial" w:cs="Arial"/>
          <w:b/>
          <w:bCs/>
        </w:rPr>
      </w:pPr>
    </w:p>
    <w:p w:rsidR="000A6E9E" w:rsidRPr="00A779DD" w:rsidRDefault="000A6E9E" w:rsidP="0079480E">
      <w:pPr>
        <w:jc w:val="center"/>
        <w:rPr>
          <w:rFonts w:ascii="Arial" w:hAnsi="Arial" w:cs="Arial"/>
          <w:b/>
          <w:bCs/>
        </w:rPr>
      </w:pPr>
    </w:p>
    <w:p w:rsidR="000A6E9E" w:rsidRPr="00A779DD" w:rsidRDefault="000A6E9E" w:rsidP="0079480E">
      <w:pPr>
        <w:jc w:val="center"/>
        <w:rPr>
          <w:rFonts w:ascii="Arial" w:hAnsi="Arial" w:cs="Arial"/>
          <w:b/>
          <w:bCs/>
        </w:rPr>
      </w:pPr>
    </w:p>
    <w:p w:rsidR="000A6E9E" w:rsidRPr="00A779DD" w:rsidRDefault="000A6E9E" w:rsidP="0079480E">
      <w:pPr>
        <w:jc w:val="center"/>
        <w:rPr>
          <w:rFonts w:ascii="Arial" w:hAnsi="Arial" w:cs="Arial"/>
          <w:b/>
          <w:bCs/>
        </w:rPr>
      </w:pPr>
    </w:p>
    <w:p w:rsidR="0079480E" w:rsidRPr="00C41306" w:rsidRDefault="00F335D4" w:rsidP="0079480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41306">
        <w:rPr>
          <w:rFonts w:ascii="Arial" w:hAnsi="Arial" w:cs="Arial"/>
          <w:b/>
          <w:bCs/>
          <w:sz w:val="20"/>
          <w:szCs w:val="20"/>
        </w:rPr>
        <w:t>GRÁFICO 5.3: ANÁLISIS DE SENSIBILIDAD DEL PROYECTO</w:t>
      </w:r>
    </w:p>
    <w:p w:rsidR="0079480E" w:rsidRPr="00C41306" w:rsidRDefault="00F335D4" w:rsidP="0079480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41306">
        <w:rPr>
          <w:rFonts w:ascii="Arial" w:hAnsi="Arial" w:cs="Arial"/>
          <w:b/>
          <w:bCs/>
          <w:sz w:val="20"/>
          <w:szCs w:val="20"/>
        </w:rPr>
        <w:t>VARIACIÓN 15%</w:t>
      </w:r>
    </w:p>
    <w:p w:rsidR="00E84AF4" w:rsidRPr="00A779DD" w:rsidRDefault="00E84AF4" w:rsidP="0079480E">
      <w:pPr>
        <w:jc w:val="center"/>
        <w:rPr>
          <w:rFonts w:ascii="Arial" w:hAnsi="Arial" w:cs="Arial"/>
          <w:b/>
          <w:bCs/>
        </w:rPr>
      </w:pPr>
    </w:p>
    <w:p w:rsidR="00D6739C" w:rsidRPr="001E3934" w:rsidRDefault="00C17E2A" w:rsidP="00AF1FDA">
      <w:pPr>
        <w:spacing w:line="480" w:lineRule="auto"/>
        <w:jc w:val="both"/>
        <w:rPr>
          <w:rFonts w:ascii="Arial" w:hAnsi="Arial" w:cs="Arial"/>
          <w:bCs/>
          <w:color w:val="003366"/>
        </w:rPr>
      </w:pPr>
      <w:r>
        <w:rPr>
          <w:noProof/>
        </w:rPr>
        <w:drawing>
          <wp:inline distT="0" distB="0" distL="0" distR="0">
            <wp:extent cx="5248275" cy="3629025"/>
            <wp:effectExtent l="0" t="0" r="0" b="0"/>
            <wp:docPr id="3" name="Objet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6739C" w:rsidRDefault="00D6739C" w:rsidP="00D6739C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Fuente: Flujo de Caja proyectado del Proyecto</w:t>
      </w:r>
    </w:p>
    <w:p w:rsidR="0079480E" w:rsidRPr="00D6739C" w:rsidRDefault="00D6739C" w:rsidP="00D6739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16"/>
          <w:szCs w:val="16"/>
        </w:rPr>
        <w:t>Elaborado por los autores</w:t>
      </w:r>
    </w:p>
    <w:sectPr w:rsidR="0079480E" w:rsidRPr="00D6739C" w:rsidSect="00306AA1">
      <w:footerReference w:type="default" r:id="rId10"/>
      <w:pgSz w:w="11906" w:h="16838" w:code="9"/>
      <w:pgMar w:top="2268" w:right="1361" w:bottom="1985" w:left="2268" w:header="709" w:footer="709" w:gutter="0"/>
      <w:pgNumType w:start="8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8E5" w:rsidRDefault="005818E5">
      <w:r>
        <w:separator/>
      </w:r>
    </w:p>
  </w:endnote>
  <w:endnote w:type="continuationSeparator" w:id="1">
    <w:p w:rsidR="005818E5" w:rsidRDefault="00581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621" w:rsidRPr="00306AA1" w:rsidRDefault="00196621" w:rsidP="00065876">
    <w:pPr>
      <w:pStyle w:val="Piedepgina"/>
      <w:jc w:val="right"/>
      <w:rPr>
        <w:rFonts w:ascii="Arial" w:hAnsi="Arial" w:cs="Arial"/>
      </w:rPr>
    </w:pPr>
    <w:r w:rsidRPr="00306AA1">
      <w:rPr>
        <w:rStyle w:val="Nmerodepgina"/>
        <w:rFonts w:ascii="Arial" w:hAnsi="Arial" w:cs="Arial"/>
      </w:rPr>
      <w:fldChar w:fldCharType="begin"/>
    </w:r>
    <w:r w:rsidRPr="00306AA1">
      <w:rPr>
        <w:rStyle w:val="Nmerodepgina"/>
        <w:rFonts w:ascii="Arial" w:hAnsi="Arial" w:cs="Arial"/>
      </w:rPr>
      <w:instrText xml:space="preserve"> PAGE </w:instrText>
    </w:r>
    <w:r w:rsidRPr="00306AA1">
      <w:rPr>
        <w:rStyle w:val="Nmerodepgina"/>
        <w:rFonts w:ascii="Arial" w:hAnsi="Arial" w:cs="Arial"/>
      </w:rPr>
      <w:fldChar w:fldCharType="separate"/>
    </w:r>
    <w:r w:rsidR="0005092B">
      <w:rPr>
        <w:rStyle w:val="Nmerodepgina"/>
        <w:rFonts w:ascii="Arial" w:hAnsi="Arial" w:cs="Arial"/>
        <w:noProof/>
      </w:rPr>
      <w:t>81</w:t>
    </w:r>
    <w:r w:rsidRPr="00306AA1">
      <w:rPr>
        <w:rStyle w:val="Nmerodepgina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8E5" w:rsidRDefault="005818E5">
      <w:r>
        <w:separator/>
      </w:r>
    </w:p>
  </w:footnote>
  <w:footnote w:type="continuationSeparator" w:id="1">
    <w:p w:rsidR="005818E5" w:rsidRDefault="005818E5">
      <w:r>
        <w:continuationSeparator/>
      </w:r>
    </w:p>
  </w:footnote>
  <w:footnote w:id="2">
    <w:p w:rsidR="00196621" w:rsidRPr="00A779DD" w:rsidRDefault="00196621" w:rsidP="006B40CE">
      <w:pPr>
        <w:pStyle w:val="Textonotapie"/>
        <w:spacing w:line="240" w:lineRule="atLeast"/>
        <w:rPr>
          <w:rFonts w:ascii="Arial" w:hAnsi="Arial" w:cs="Arial"/>
          <w:sz w:val="18"/>
          <w:szCs w:val="18"/>
        </w:rPr>
      </w:pPr>
      <w:r w:rsidRPr="00A779DD">
        <w:rPr>
          <w:rStyle w:val="Refdenotaalpie"/>
          <w:rFonts w:ascii="Arial" w:hAnsi="Arial" w:cs="Arial"/>
          <w:sz w:val="18"/>
          <w:szCs w:val="18"/>
        </w:rPr>
        <w:footnoteRef/>
      </w:r>
      <w:r w:rsidRPr="00A779DD">
        <w:rPr>
          <w:rFonts w:ascii="Arial" w:hAnsi="Arial" w:cs="Arial"/>
          <w:sz w:val="18"/>
          <w:szCs w:val="18"/>
        </w:rPr>
        <w:t xml:space="preserve"> Ver Anexo 12 “Costo de Herramientas”</w:t>
      </w:r>
    </w:p>
  </w:footnote>
  <w:footnote w:id="3">
    <w:p w:rsidR="00196621" w:rsidRPr="001E3934" w:rsidRDefault="00196621" w:rsidP="006B40CE">
      <w:pPr>
        <w:pStyle w:val="Textonotapie"/>
        <w:spacing w:line="240" w:lineRule="atLeast"/>
        <w:rPr>
          <w:rFonts w:ascii="Arial" w:hAnsi="Arial" w:cs="Arial"/>
          <w:color w:val="003366"/>
        </w:rPr>
      </w:pPr>
      <w:r w:rsidRPr="00A779DD">
        <w:rPr>
          <w:rStyle w:val="Refdenotaalpie"/>
          <w:rFonts w:ascii="Arial" w:hAnsi="Arial" w:cs="Arial"/>
          <w:sz w:val="18"/>
          <w:szCs w:val="18"/>
        </w:rPr>
        <w:footnoteRef/>
      </w:r>
      <w:r w:rsidRPr="00A779DD">
        <w:rPr>
          <w:rFonts w:ascii="Arial" w:hAnsi="Arial" w:cs="Arial"/>
          <w:sz w:val="18"/>
          <w:szCs w:val="18"/>
        </w:rPr>
        <w:t xml:space="preserve"> Ver Anexo  13 “Costo Vehículo Recolector Carga Posterior”</w:t>
      </w:r>
    </w:p>
  </w:footnote>
  <w:footnote w:id="4">
    <w:p w:rsidR="00196621" w:rsidRPr="00A779DD" w:rsidRDefault="00196621" w:rsidP="006B40CE">
      <w:pPr>
        <w:pStyle w:val="Textonotapie"/>
        <w:spacing w:line="240" w:lineRule="atLeast"/>
        <w:rPr>
          <w:rFonts w:ascii="Arial" w:hAnsi="Arial" w:cs="Arial"/>
          <w:sz w:val="18"/>
          <w:szCs w:val="18"/>
        </w:rPr>
      </w:pPr>
      <w:r w:rsidRPr="00A779DD">
        <w:rPr>
          <w:rStyle w:val="Refdenotaalpie"/>
          <w:rFonts w:ascii="Arial" w:hAnsi="Arial" w:cs="Arial"/>
          <w:sz w:val="18"/>
          <w:szCs w:val="18"/>
        </w:rPr>
        <w:footnoteRef/>
      </w:r>
      <w:r w:rsidRPr="00A779DD">
        <w:rPr>
          <w:rFonts w:ascii="Arial" w:hAnsi="Arial" w:cs="Arial"/>
          <w:sz w:val="18"/>
          <w:szCs w:val="18"/>
        </w:rPr>
        <w:t xml:space="preserve"> Ver Anexo 14 “Costo Vehículos Recolector Carga Frontal”</w:t>
      </w:r>
    </w:p>
  </w:footnote>
  <w:footnote w:id="5">
    <w:p w:rsidR="00196621" w:rsidRPr="00A779DD" w:rsidRDefault="00196621">
      <w:pPr>
        <w:pStyle w:val="Textonotapie"/>
        <w:rPr>
          <w:rFonts w:ascii="Arial" w:hAnsi="Arial" w:cs="Arial"/>
          <w:sz w:val="18"/>
          <w:szCs w:val="18"/>
        </w:rPr>
      </w:pPr>
      <w:r w:rsidRPr="00A779DD">
        <w:rPr>
          <w:rStyle w:val="Refdenotaalpie"/>
          <w:rFonts w:ascii="Arial" w:hAnsi="Arial" w:cs="Arial"/>
          <w:sz w:val="18"/>
          <w:szCs w:val="18"/>
        </w:rPr>
        <w:footnoteRef/>
      </w:r>
      <w:r w:rsidRPr="00A779DD">
        <w:rPr>
          <w:rFonts w:ascii="Arial" w:hAnsi="Arial" w:cs="Arial"/>
          <w:sz w:val="18"/>
          <w:szCs w:val="18"/>
        </w:rPr>
        <w:t xml:space="preserve"> Ver Anexo 15 “Costo Maquinaria”</w:t>
      </w:r>
    </w:p>
  </w:footnote>
  <w:footnote w:id="6">
    <w:p w:rsidR="00196621" w:rsidRPr="00927134" w:rsidRDefault="00196621">
      <w:pPr>
        <w:pStyle w:val="Textonotapie"/>
        <w:rPr>
          <w:rFonts w:ascii="Arial" w:hAnsi="Arial" w:cs="Arial"/>
          <w:color w:val="003366"/>
        </w:rPr>
      </w:pPr>
      <w:r w:rsidRPr="00A779DD">
        <w:rPr>
          <w:rStyle w:val="Refdenotaalpie"/>
          <w:rFonts w:ascii="Arial" w:hAnsi="Arial" w:cs="Arial"/>
          <w:sz w:val="18"/>
          <w:szCs w:val="18"/>
        </w:rPr>
        <w:footnoteRef/>
      </w:r>
      <w:r w:rsidRPr="00A779DD">
        <w:rPr>
          <w:rFonts w:ascii="Arial" w:hAnsi="Arial" w:cs="Arial"/>
          <w:sz w:val="18"/>
          <w:szCs w:val="18"/>
        </w:rPr>
        <w:t xml:space="preserve"> Ver Anexo 16 “Costo Vehículos Recolectores”</w:t>
      </w:r>
    </w:p>
  </w:footnote>
  <w:footnote w:id="7">
    <w:p w:rsidR="00196621" w:rsidRPr="00A779DD" w:rsidRDefault="00196621">
      <w:pPr>
        <w:pStyle w:val="Textonotapie"/>
        <w:rPr>
          <w:rFonts w:ascii="Arial" w:hAnsi="Arial" w:cs="Arial"/>
          <w:sz w:val="18"/>
          <w:szCs w:val="18"/>
        </w:rPr>
      </w:pPr>
      <w:r w:rsidRPr="00A779DD">
        <w:rPr>
          <w:rStyle w:val="Refdenotaalpie"/>
          <w:rFonts w:ascii="Arial" w:hAnsi="Arial" w:cs="Arial"/>
          <w:sz w:val="18"/>
          <w:szCs w:val="18"/>
        </w:rPr>
        <w:footnoteRef/>
      </w:r>
      <w:r w:rsidRPr="00A779DD">
        <w:rPr>
          <w:rFonts w:ascii="Arial" w:hAnsi="Arial" w:cs="Arial"/>
          <w:sz w:val="18"/>
          <w:szCs w:val="18"/>
        </w:rPr>
        <w:t xml:space="preserve"> Ver Anexo  17 “Depreciación de Activos Fijos”</w:t>
      </w:r>
    </w:p>
  </w:footnote>
  <w:footnote w:id="8">
    <w:p w:rsidR="00196621" w:rsidRPr="00221F0E" w:rsidRDefault="00196621">
      <w:pPr>
        <w:pStyle w:val="Textonotapie"/>
        <w:rPr>
          <w:rFonts w:ascii="Arial" w:hAnsi="Arial" w:cs="Arial"/>
          <w:color w:val="003366"/>
        </w:rPr>
      </w:pPr>
      <w:r w:rsidRPr="00A779DD">
        <w:rPr>
          <w:rStyle w:val="Refdenotaalpie"/>
          <w:rFonts w:ascii="Arial" w:hAnsi="Arial" w:cs="Arial"/>
          <w:sz w:val="18"/>
          <w:szCs w:val="18"/>
        </w:rPr>
        <w:footnoteRef/>
      </w:r>
      <w:r w:rsidRPr="00A779DD">
        <w:rPr>
          <w:rFonts w:ascii="Arial" w:hAnsi="Arial" w:cs="Arial"/>
          <w:sz w:val="18"/>
          <w:szCs w:val="18"/>
        </w:rPr>
        <w:t xml:space="preserve"> Ver Anexo 18 “Presupuesto de Relleno Sanitario (2006-2015)”</w:t>
      </w:r>
    </w:p>
  </w:footnote>
  <w:footnote w:id="9">
    <w:p w:rsidR="00196621" w:rsidRPr="00A779DD" w:rsidRDefault="00196621">
      <w:pPr>
        <w:pStyle w:val="Textonotapie"/>
        <w:rPr>
          <w:rFonts w:ascii="Arial" w:hAnsi="Arial" w:cs="Arial"/>
          <w:sz w:val="18"/>
          <w:szCs w:val="18"/>
        </w:rPr>
      </w:pPr>
      <w:r w:rsidRPr="00A779DD">
        <w:rPr>
          <w:rStyle w:val="Refdenotaalpie"/>
          <w:rFonts w:ascii="Arial" w:hAnsi="Arial" w:cs="Arial"/>
          <w:sz w:val="18"/>
          <w:szCs w:val="18"/>
        </w:rPr>
        <w:footnoteRef/>
      </w:r>
      <w:r w:rsidRPr="00A779DD">
        <w:rPr>
          <w:rFonts w:ascii="Arial" w:hAnsi="Arial" w:cs="Arial"/>
          <w:sz w:val="18"/>
          <w:szCs w:val="18"/>
        </w:rPr>
        <w:t xml:space="preserve"> Ver Anexo 19 “Proyección de Costos Directos”</w:t>
      </w:r>
    </w:p>
  </w:footnote>
  <w:footnote w:id="10">
    <w:p w:rsidR="00196621" w:rsidRPr="00221F0E" w:rsidRDefault="00196621">
      <w:pPr>
        <w:pStyle w:val="Textonotapie"/>
        <w:rPr>
          <w:rFonts w:ascii="Arial" w:hAnsi="Arial" w:cs="Arial"/>
          <w:color w:val="003366"/>
        </w:rPr>
      </w:pPr>
      <w:r w:rsidRPr="00A779DD">
        <w:rPr>
          <w:rStyle w:val="Refdenotaalpie"/>
          <w:rFonts w:ascii="Arial" w:hAnsi="Arial" w:cs="Arial"/>
          <w:sz w:val="18"/>
          <w:szCs w:val="18"/>
        </w:rPr>
        <w:footnoteRef/>
      </w:r>
      <w:r w:rsidRPr="00A779DD">
        <w:rPr>
          <w:rFonts w:ascii="Arial" w:hAnsi="Arial" w:cs="Arial"/>
          <w:sz w:val="18"/>
          <w:szCs w:val="18"/>
        </w:rPr>
        <w:t xml:space="preserve"> Ver Anexo  20 “Salarios”</w:t>
      </w:r>
    </w:p>
  </w:footnote>
  <w:footnote w:id="11">
    <w:p w:rsidR="00196621" w:rsidRPr="00A779DD" w:rsidRDefault="00196621">
      <w:pPr>
        <w:pStyle w:val="Textonotapie"/>
        <w:rPr>
          <w:rFonts w:ascii="Arial" w:hAnsi="Arial" w:cs="Arial"/>
          <w:sz w:val="18"/>
          <w:szCs w:val="18"/>
        </w:rPr>
      </w:pPr>
      <w:r w:rsidRPr="00A779DD">
        <w:rPr>
          <w:rStyle w:val="Refdenotaalpie"/>
          <w:rFonts w:ascii="Arial" w:hAnsi="Arial" w:cs="Arial"/>
          <w:sz w:val="18"/>
          <w:szCs w:val="18"/>
        </w:rPr>
        <w:footnoteRef/>
      </w:r>
      <w:r w:rsidRPr="00A779DD">
        <w:rPr>
          <w:rFonts w:ascii="Arial" w:hAnsi="Arial" w:cs="Arial"/>
          <w:sz w:val="18"/>
          <w:szCs w:val="18"/>
        </w:rPr>
        <w:t xml:space="preserve"> Ver Anexo 21 “Proyección de Costos Indirectos”</w:t>
      </w:r>
    </w:p>
  </w:footnote>
  <w:footnote w:id="12">
    <w:p w:rsidR="00196621" w:rsidRPr="00A779DD" w:rsidRDefault="00196621">
      <w:pPr>
        <w:pStyle w:val="Textonotapie"/>
        <w:rPr>
          <w:rFonts w:ascii="Arial" w:hAnsi="Arial" w:cs="Arial"/>
          <w:sz w:val="18"/>
          <w:szCs w:val="18"/>
        </w:rPr>
      </w:pPr>
      <w:r w:rsidRPr="00A779DD">
        <w:rPr>
          <w:rStyle w:val="Refdenotaalpie"/>
          <w:rFonts w:ascii="Arial" w:hAnsi="Arial" w:cs="Arial"/>
          <w:sz w:val="18"/>
          <w:szCs w:val="18"/>
        </w:rPr>
        <w:footnoteRef/>
      </w:r>
      <w:r w:rsidRPr="00A779DD">
        <w:rPr>
          <w:rFonts w:ascii="Arial" w:hAnsi="Arial" w:cs="Arial"/>
          <w:sz w:val="18"/>
          <w:szCs w:val="18"/>
        </w:rPr>
        <w:t xml:space="preserve"> Ver Anexo 22 “Cálculo de Tarifas para cada Generador”</w:t>
      </w:r>
    </w:p>
  </w:footnote>
  <w:footnote w:id="13">
    <w:p w:rsidR="00196621" w:rsidRPr="007F5006" w:rsidRDefault="00196621">
      <w:pPr>
        <w:pStyle w:val="Textonotapie"/>
        <w:rPr>
          <w:color w:val="003366"/>
        </w:rPr>
      </w:pPr>
      <w:r w:rsidRPr="00A779DD">
        <w:rPr>
          <w:rStyle w:val="Refdenotaalpie"/>
          <w:rFonts w:ascii="Arial" w:hAnsi="Arial" w:cs="Arial"/>
          <w:sz w:val="18"/>
          <w:szCs w:val="18"/>
        </w:rPr>
        <w:footnoteRef/>
      </w:r>
      <w:r w:rsidRPr="00A779DD">
        <w:rPr>
          <w:rFonts w:ascii="Arial" w:hAnsi="Arial" w:cs="Arial"/>
          <w:sz w:val="18"/>
          <w:szCs w:val="18"/>
        </w:rPr>
        <w:t xml:space="preserve"> Ver Anexo 23 “a) Ingresos por Generador b) Ingresos Totales”</w:t>
      </w:r>
    </w:p>
  </w:footnote>
  <w:footnote w:id="14">
    <w:p w:rsidR="00196621" w:rsidRPr="00A779DD" w:rsidRDefault="00196621">
      <w:pPr>
        <w:pStyle w:val="Textonotapie"/>
        <w:rPr>
          <w:rFonts w:ascii="Arial" w:hAnsi="Arial" w:cs="Arial"/>
          <w:sz w:val="18"/>
          <w:szCs w:val="18"/>
        </w:rPr>
      </w:pPr>
      <w:r w:rsidRPr="00A779DD">
        <w:rPr>
          <w:rStyle w:val="Refdenotaalpie"/>
          <w:rFonts w:ascii="Arial" w:hAnsi="Arial" w:cs="Arial"/>
          <w:sz w:val="18"/>
          <w:szCs w:val="18"/>
        </w:rPr>
        <w:footnoteRef/>
      </w:r>
      <w:r w:rsidRPr="00A779DD">
        <w:rPr>
          <w:rFonts w:ascii="Arial" w:hAnsi="Arial" w:cs="Arial"/>
          <w:sz w:val="18"/>
          <w:szCs w:val="18"/>
        </w:rPr>
        <w:t xml:space="preserve"> Ver Anexo 24 “Estado de Flujo de Efectivo”</w:t>
      </w:r>
    </w:p>
  </w:footnote>
  <w:footnote w:id="15">
    <w:p w:rsidR="00196621" w:rsidRPr="007F5006" w:rsidRDefault="00196621">
      <w:pPr>
        <w:pStyle w:val="Textonotapie"/>
        <w:rPr>
          <w:color w:val="003366"/>
        </w:rPr>
      </w:pPr>
      <w:r w:rsidRPr="00A779DD">
        <w:rPr>
          <w:rStyle w:val="Refdenotaalpie"/>
          <w:rFonts w:ascii="Arial" w:hAnsi="Arial" w:cs="Arial"/>
          <w:sz w:val="18"/>
          <w:szCs w:val="18"/>
        </w:rPr>
        <w:footnoteRef/>
      </w:r>
      <w:r w:rsidRPr="00A779DD">
        <w:rPr>
          <w:rFonts w:ascii="Arial" w:hAnsi="Arial" w:cs="Arial"/>
          <w:sz w:val="18"/>
          <w:szCs w:val="18"/>
        </w:rPr>
        <w:t xml:space="preserve"> Tasa  tomada del Banco Central del Ecuador</w:t>
      </w:r>
    </w:p>
  </w:footnote>
  <w:footnote w:id="16">
    <w:p w:rsidR="00196621" w:rsidRPr="00A779DD" w:rsidRDefault="00196621">
      <w:pPr>
        <w:pStyle w:val="Textonotapie"/>
        <w:rPr>
          <w:rFonts w:ascii="Arial" w:hAnsi="Arial" w:cs="Arial"/>
          <w:sz w:val="18"/>
          <w:szCs w:val="18"/>
        </w:rPr>
      </w:pPr>
      <w:r w:rsidRPr="00A779DD">
        <w:rPr>
          <w:rStyle w:val="Refdenotaalpie"/>
          <w:rFonts w:ascii="Arial" w:hAnsi="Arial" w:cs="Arial"/>
          <w:sz w:val="18"/>
          <w:szCs w:val="18"/>
        </w:rPr>
        <w:footnoteRef/>
      </w:r>
      <w:r w:rsidRPr="00A779DD">
        <w:rPr>
          <w:rFonts w:ascii="Arial" w:hAnsi="Arial" w:cs="Arial"/>
          <w:sz w:val="18"/>
          <w:szCs w:val="18"/>
        </w:rPr>
        <w:t xml:space="preserve"> Ver Anexo  25 “Estado de Pérdidas y Ganancias”</w:t>
      </w:r>
    </w:p>
  </w:footnote>
  <w:footnote w:id="17">
    <w:p w:rsidR="00196621" w:rsidRPr="007A6BC9" w:rsidRDefault="00196621">
      <w:pPr>
        <w:pStyle w:val="Textonotapie"/>
        <w:rPr>
          <w:color w:val="003366"/>
        </w:rPr>
      </w:pPr>
      <w:r w:rsidRPr="00A779DD">
        <w:rPr>
          <w:rStyle w:val="Refdenotaalpie"/>
          <w:rFonts w:ascii="Arial" w:hAnsi="Arial" w:cs="Arial"/>
          <w:sz w:val="18"/>
          <w:szCs w:val="18"/>
        </w:rPr>
        <w:footnoteRef/>
      </w:r>
      <w:r w:rsidRPr="00A779DD">
        <w:rPr>
          <w:rFonts w:ascii="Arial" w:hAnsi="Arial" w:cs="Arial"/>
          <w:sz w:val="18"/>
          <w:szCs w:val="18"/>
        </w:rPr>
        <w:t xml:space="preserve"> Ver Anexo  26  “Balance General”</w:t>
      </w:r>
    </w:p>
  </w:footnote>
  <w:footnote w:id="18">
    <w:p w:rsidR="00196621" w:rsidRPr="00A779DD" w:rsidRDefault="00196621">
      <w:pPr>
        <w:pStyle w:val="Textonotapie"/>
        <w:rPr>
          <w:rFonts w:ascii="Arial" w:hAnsi="Arial" w:cs="Arial"/>
          <w:sz w:val="18"/>
          <w:szCs w:val="18"/>
        </w:rPr>
      </w:pPr>
      <w:r w:rsidRPr="00A779DD">
        <w:rPr>
          <w:rStyle w:val="Refdenotaalpie"/>
          <w:rFonts w:ascii="Arial" w:hAnsi="Arial" w:cs="Arial"/>
          <w:sz w:val="18"/>
          <w:szCs w:val="18"/>
        </w:rPr>
        <w:footnoteRef/>
      </w:r>
      <w:r w:rsidRPr="00A779DD">
        <w:rPr>
          <w:rFonts w:ascii="Arial" w:hAnsi="Arial" w:cs="Arial"/>
          <w:sz w:val="18"/>
          <w:szCs w:val="18"/>
        </w:rPr>
        <w:t xml:space="preserve"> Ver Anexo 27 “Ratios Financieros”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529D2"/>
    <w:multiLevelType w:val="hybridMultilevel"/>
    <w:tmpl w:val="B6F8DA58"/>
    <w:lvl w:ilvl="0" w:tplc="655E3A9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3CEB"/>
    <w:rsid w:val="000130CC"/>
    <w:rsid w:val="000323C7"/>
    <w:rsid w:val="00042C9E"/>
    <w:rsid w:val="0005092B"/>
    <w:rsid w:val="000556EF"/>
    <w:rsid w:val="00055F49"/>
    <w:rsid w:val="00065876"/>
    <w:rsid w:val="00071D59"/>
    <w:rsid w:val="00083EF9"/>
    <w:rsid w:val="00086B8A"/>
    <w:rsid w:val="000A2FB3"/>
    <w:rsid w:val="000A381F"/>
    <w:rsid w:val="000A6E9E"/>
    <w:rsid w:val="000C1D87"/>
    <w:rsid w:val="000C52BC"/>
    <w:rsid w:val="000D0E02"/>
    <w:rsid w:val="000D66C6"/>
    <w:rsid w:val="000D6DD7"/>
    <w:rsid w:val="000E112A"/>
    <w:rsid w:val="00135DBB"/>
    <w:rsid w:val="00144261"/>
    <w:rsid w:val="001477DC"/>
    <w:rsid w:val="00161F0A"/>
    <w:rsid w:val="00162174"/>
    <w:rsid w:val="00190AD5"/>
    <w:rsid w:val="00196621"/>
    <w:rsid w:val="001D0679"/>
    <w:rsid w:val="001D6162"/>
    <w:rsid w:val="001E2FE0"/>
    <w:rsid w:val="001E3934"/>
    <w:rsid w:val="001E4BB5"/>
    <w:rsid w:val="001E57F8"/>
    <w:rsid w:val="001F1C96"/>
    <w:rsid w:val="001F461E"/>
    <w:rsid w:val="002112BD"/>
    <w:rsid w:val="00221F0E"/>
    <w:rsid w:val="00227304"/>
    <w:rsid w:val="00247B4E"/>
    <w:rsid w:val="00257403"/>
    <w:rsid w:val="00260276"/>
    <w:rsid w:val="00267A7F"/>
    <w:rsid w:val="0027360C"/>
    <w:rsid w:val="00281513"/>
    <w:rsid w:val="00292110"/>
    <w:rsid w:val="002B2188"/>
    <w:rsid w:val="002C02E8"/>
    <w:rsid w:val="002C53A0"/>
    <w:rsid w:val="002D1C02"/>
    <w:rsid w:val="002E5276"/>
    <w:rsid w:val="002F76AA"/>
    <w:rsid w:val="00306AA1"/>
    <w:rsid w:val="00347D64"/>
    <w:rsid w:val="003567F8"/>
    <w:rsid w:val="00356A55"/>
    <w:rsid w:val="00363DE1"/>
    <w:rsid w:val="0039120F"/>
    <w:rsid w:val="00393023"/>
    <w:rsid w:val="00393313"/>
    <w:rsid w:val="003B7F02"/>
    <w:rsid w:val="003D65E3"/>
    <w:rsid w:val="003F010B"/>
    <w:rsid w:val="003F059E"/>
    <w:rsid w:val="00442BFE"/>
    <w:rsid w:val="00451E84"/>
    <w:rsid w:val="00464913"/>
    <w:rsid w:val="00485739"/>
    <w:rsid w:val="00490B21"/>
    <w:rsid w:val="00492FF3"/>
    <w:rsid w:val="004C4E0D"/>
    <w:rsid w:val="004C5841"/>
    <w:rsid w:val="004D0FF1"/>
    <w:rsid w:val="004E3AD9"/>
    <w:rsid w:val="004F153B"/>
    <w:rsid w:val="00500198"/>
    <w:rsid w:val="005048FF"/>
    <w:rsid w:val="005051F7"/>
    <w:rsid w:val="00515F1D"/>
    <w:rsid w:val="00523913"/>
    <w:rsid w:val="00546D15"/>
    <w:rsid w:val="00551FA1"/>
    <w:rsid w:val="005527CE"/>
    <w:rsid w:val="005818E5"/>
    <w:rsid w:val="00586A3D"/>
    <w:rsid w:val="005A5217"/>
    <w:rsid w:val="005B4246"/>
    <w:rsid w:val="005B56CA"/>
    <w:rsid w:val="005C37AC"/>
    <w:rsid w:val="005C388D"/>
    <w:rsid w:val="005C3CEB"/>
    <w:rsid w:val="005D67DB"/>
    <w:rsid w:val="006024B1"/>
    <w:rsid w:val="0063298D"/>
    <w:rsid w:val="006432BA"/>
    <w:rsid w:val="006574C8"/>
    <w:rsid w:val="00695045"/>
    <w:rsid w:val="006B40CE"/>
    <w:rsid w:val="006F4665"/>
    <w:rsid w:val="0070551C"/>
    <w:rsid w:val="007108BA"/>
    <w:rsid w:val="00755679"/>
    <w:rsid w:val="00766993"/>
    <w:rsid w:val="00774CB6"/>
    <w:rsid w:val="0078441F"/>
    <w:rsid w:val="00785A77"/>
    <w:rsid w:val="0079480E"/>
    <w:rsid w:val="007A2653"/>
    <w:rsid w:val="007A6BC9"/>
    <w:rsid w:val="007A72E5"/>
    <w:rsid w:val="007D2694"/>
    <w:rsid w:val="007F5006"/>
    <w:rsid w:val="008149BE"/>
    <w:rsid w:val="00852963"/>
    <w:rsid w:val="00895912"/>
    <w:rsid w:val="008960F6"/>
    <w:rsid w:val="008A3F36"/>
    <w:rsid w:val="008C5EDE"/>
    <w:rsid w:val="008E5DBE"/>
    <w:rsid w:val="008E7140"/>
    <w:rsid w:val="008F796B"/>
    <w:rsid w:val="00926F2D"/>
    <w:rsid w:val="00927134"/>
    <w:rsid w:val="0092724E"/>
    <w:rsid w:val="00946772"/>
    <w:rsid w:val="0096309D"/>
    <w:rsid w:val="00996365"/>
    <w:rsid w:val="009C5170"/>
    <w:rsid w:val="009D060B"/>
    <w:rsid w:val="009D0F13"/>
    <w:rsid w:val="009D12BB"/>
    <w:rsid w:val="009E0B85"/>
    <w:rsid w:val="009E7973"/>
    <w:rsid w:val="009F3AB1"/>
    <w:rsid w:val="00A266C2"/>
    <w:rsid w:val="00A31420"/>
    <w:rsid w:val="00A346F7"/>
    <w:rsid w:val="00A4549F"/>
    <w:rsid w:val="00A52AD8"/>
    <w:rsid w:val="00A54918"/>
    <w:rsid w:val="00A64B23"/>
    <w:rsid w:val="00A705D9"/>
    <w:rsid w:val="00A779DD"/>
    <w:rsid w:val="00A90649"/>
    <w:rsid w:val="00AA4761"/>
    <w:rsid w:val="00AB6463"/>
    <w:rsid w:val="00AB6E1D"/>
    <w:rsid w:val="00AB7051"/>
    <w:rsid w:val="00AC165D"/>
    <w:rsid w:val="00AC5FF8"/>
    <w:rsid w:val="00AE0A1B"/>
    <w:rsid w:val="00AF1FDA"/>
    <w:rsid w:val="00B2601A"/>
    <w:rsid w:val="00B37653"/>
    <w:rsid w:val="00B47250"/>
    <w:rsid w:val="00B47D04"/>
    <w:rsid w:val="00B678FE"/>
    <w:rsid w:val="00B71FD8"/>
    <w:rsid w:val="00B879A3"/>
    <w:rsid w:val="00B96C03"/>
    <w:rsid w:val="00BC41E3"/>
    <w:rsid w:val="00BD095A"/>
    <w:rsid w:val="00BF32A4"/>
    <w:rsid w:val="00BF35C2"/>
    <w:rsid w:val="00C17E2A"/>
    <w:rsid w:val="00C23A8F"/>
    <w:rsid w:val="00C3125C"/>
    <w:rsid w:val="00C41306"/>
    <w:rsid w:val="00C61AEE"/>
    <w:rsid w:val="00C653BD"/>
    <w:rsid w:val="00CA1467"/>
    <w:rsid w:val="00CA4965"/>
    <w:rsid w:val="00CC06F6"/>
    <w:rsid w:val="00CE068A"/>
    <w:rsid w:val="00D23BA6"/>
    <w:rsid w:val="00D3576A"/>
    <w:rsid w:val="00D35793"/>
    <w:rsid w:val="00D47CEB"/>
    <w:rsid w:val="00D57641"/>
    <w:rsid w:val="00D6739C"/>
    <w:rsid w:val="00D9524E"/>
    <w:rsid w:val="00DC7D08"/>
    <w:rsid w:val="00DE7676"/>
    <w:rsid w:val="00E20064"/>
    <w:rsid w:val="00E234B5"/>
    <w:rsid w:val="00E254C7"/>
    <w:rsid w:val="00E33540"/>
    <w:rsid w:val="00E42D7C"/>
    <w:rsid w:val="00E75B9A"/>
    <w:rsid w:val="00E84AF4"/>
    <w:rsid w:val="00E9759D"/>
    <w:rsid w:val="00EB2AEE"/>
    <w:rsid w:val="00EC656E"/>
    <w:rsid w:val="00EF014E"/>
    <w:rsid w:val="00EF5E28"/>
    <w:rsid w:val="00F050C6"/>
    <w:rsid w:val="00F06938"/>
    <w:rsid w:val="00F120E2"/>
    <w:rsid w:val="00F1332E"/>
    <w:rsid w:val="00F22CBB"/>
    <w:rsid w:val="00F24498"/>
    <w:rsid w:val="00F2513B"/>
    <w:rsid w:val="00F307BC"/>
    <w:rsid w:val="00F31254"/>
    <w:rsid w:val="00F335D4"/>
    <w:rsid w:val="00F53445"/>
    <w:rsid w:val="00F60173"/>
    <w:rsid w:val="00F62682"/>
    <w:rsid w:val="00F673DE"/>
    <w:rsid w:val="00F933A8"/>
    <w:rsid w:val="00FA1730"/>
    <w:rsid w:val="00FB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682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rsid w:val="00F62682"/>
    <w:pPr>
      <w:jc w:val="center"/>
    </w:pPr>
    <w:rPr>
      <w:rFonts w:ascii="Bookman Old Style" w:hAnsi="Bookman Old Style"/>
      <w:b/>
      <w:bCs/>
      <w:sz w:val="40"/>
      <w:lang w:val="en-US"/>
    </w:rPr>
  </w:style>
  <w:style w:type="table" w:styleId="Tablaconcuadrcula">
    <w:name w:val="Table Grid"/>
    <w:basedOn w:val="Tablanormal"/>
    <w:rsid w:val="007A7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semiHidden/>
    <w:rsid w:val="006B40CE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6B40CE"/>
    <w:rPr>
      <w:vertAlign w:val="superscript"/>
    </w:rPr>
  </w:style>
  <w:style w:type="paragraph" w:styleId="Encabezado">
    <w:name w:val="header"/>
    <w:basedOn w:val="Normal"/>
    <w:rsid w:val="0006587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6587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658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211">
      <w:bodyDiv w:val="1"/>
      <w:marLeft w:val="390"/>
      <w:marRight w:val="240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Office_Excel1.xlsx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Office_Excel2.xlsx"/><Relationship Id="rId2" Type="http://schemas.openxmlformats.org/officeDocument/2006/relationships/image" Target="../media/image1.jpeg"/><Relationship Id="rId1" Type="http://schemas.openxmlformats.org/officeDocument/2006/relationships/image" Target="../media/image2.jpeg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Office_Excel3.xlsx"/><Relationship Id="rId2" Type="http://schemas.openxmlformats.org/officeDocument/2006/relationships/image" Target="../media/image1.jpeg"/><Relationship Id="rId1" Type="http://schemas.openxmlformats.org/officeDocument/2006/relationships/image" Target="../media/image2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plotArea>
      <c:layout>
        <c:manualLayout>
          <c:layoutTarget val="inner"/>
          <c:xMode val="edge"/>
          <c:yMode val="edge"/>
          <c:x val="0.29691211401425194"/>
          <c:y val="0.24015748031496073"/>
          <c:w val="0.40380047505938266"/>
          <c:h val="0.66929133858267764"/>
        </c:manualLayout>
      </c:layout>
      <c:pieChart>
        <c:varyColors val="1"/>
        <c:ser>
          <c:idx val="0"/>
          <c:order val="0"/>
          <c:tx>
            <c:strRef>
              <c:f>Financiamiento!$C$4:$C$5</c:f>
              <c:strCache>
                <c:ptCount val="1"/>
                <c:pt idx="0">
                  <c:v>Año 2006 Inicial</c:v>
                </c:pt>
              </c:strCache>
            </c:strRef>
          </c:tx>
          <c:spPr>
            <a:gradFill rotWithShape="0">
              <a:gsLst>
                <a:gs pos="0">
                  <a:srgbClr val="FFCC99"/>
                </a:gs>
                <a:gs pos="50000">
                  <a:srgbClr val="FFCC99">
                    <a:gamma/>
                    <a:shade val="46275"/>
                    <a:invGamma/>
                  </a:srgbClr>
                </a:gs>
                <a:gs pos="100000">
                  <a:srgbClr val="FFCC99"/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explosion val="27"/>
          <c:dLbls>
            <c:dLbl>
              <c:idx val="0"/>
              <c:layout>
                <c:manualLayout>
                  <c:xMode val="edge"/>
                  <c:yMode val="edge"/>
                  <c:x val="0.71496437054631834"/>
                  <c:y val="0.73228346456692917"/>
                </c:manualLayout>
              </c:layout>
              <c:tx>
                <c:rich>
                  <a:bodyPr/>
                  <a:lstStyle/>
                  <a:p>
                    <a:pPr algn="ctr" rtl="1">
                      <a:defRPr sz="875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t>Crèditos L/P (Bco. Estado)  1.685.591,43    70%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</c:dLbl>
            <c:dLbl>
              <c:idx val="1"/>
              <c:layout>
                <c:manualLayout>
                  <c:xMode val="edge"/>
                  <c:yMode val="edge"/>
                  <c:x val="5.2256532066508314E-2"/>
                  <c:y val="0.28346456692913397"/>
                </c:manualLayout>
              </c:layout>
              <c:tx>
                <c:rich>
                  <a:bodyPr/>
                  <a:lstStyle/>
                  <a:p>
                    <a:pPr algn="ctr" rtl="1">
                      <a:defRPr sz="875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t>Aporte Municipal  722.396,33    30%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</c:dLbl>
            <c:dLbl>
              <c:idx val="2"/>
              <c:layout>
                <c:manualLayout>
                  <c:xMode val="edge"/>
                  <c:yMode val="edge"/>
                  <c:x val="0.16627078384798105"/>
                  <c:y val="0.13385826771653545"/>
                </c:manualLayout>
              </c:layout>
              <c:dLblPos val="bestFit"/>
              <c:showVal val="1"/>
              <c:showCatName val="1"/>
              <c:showPercent val="1"/>
              <c:separator> </c:separator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 algn="ctr" rtl="1">
                  <a:defRPr sz="875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dLblPos val="ctr"/>
            <c:showVal val="1"/>
            <c:showCatName val="1"/>
            <c:showPercent val="1"/>
            <c:separator> </c:separator>
            <c:showLeaderLines val="1"/>
          </c:dLbls>
          <c:cat>
            <c:strRef>
              <c:f>Financiamiento!$B$6:$B$7</c:f>
              <c:strCache>
                <c:ptCount val="2"/>
                <c:pt idx="0">
                  <c:v>Crèditos L/P (Bco. Estado)</c:v>
                </c:pt>
                <c:pt idx="1">
                  <c:v>Aporte Municipal</c:v>
                </c:pt>
              </c:strCache>
            </c:strRef>
          </c:cat>
          <c:val>
            <c:numRef>
              <c:f>Financiamiento!$C$6:$C$7</c:f>
              <c:numCache>
                <c:formatCode>_-* #,##0.00\ _€_-;\-* #,##0.00\ _€_-;_-* "-"??\ _€_-;_-@_-</c:formatCode>
                <c:ptCount val="2"/>
                <c:pt idx="0">
                  <c:v>1685591.4339636832</c:v>
                </c:pt>
                <c:pt idx="1">
                  <c:v>722396.32884157845</c:v>
                </c:pt>
              </c:numCache>
            </c:numRef>
          </c:val>
        </c:ser>
        <c:dLbls>
          <c:showVal val="1"/>
          <c:showCatName val="1"/>
          <c:showPercent val="1"/>
          <c:separator> </c:separator>
        </c:dLbls>
        <c:firstSliceAng val="0"/>
      </c:pieChart>
      <c:spPr>
        <a:noFill/>
        <a:ln w="25400">
          <a:noFill/>
        </a:ln>
      </c:spPr>
    </c:plotArea>
    <c:plotVisOnly val="1"/>
    <c:dispBlanksAs val="zero"/>
  </c:chart>
  <c:spPr>
    <a:blipFill dpi="0" rotWithShape="0">
      <a:blip xmlns:r="http://schemas.openxmlformats.org/officeDocument/2006/relationships" r:embed="rId1"/>
      <a:srcRect/>
      <a:tile tx="0" ty="0" sx="100000" sy="100000" flip="none" algn="tl"/>
    </a:blipFill>
    <a:ln w="3175">
      <a:solidFill>
        <a:srgbClr val="000000"/>
      </a:solidFill>
      <a:prstDash val="solid"/>
    </a:ln>
  </c:spPr>
  <c:txPr>
    <a:bodyPr/>
    <a:lstStyle/>
    <a:p>
      <a:pPr>
        <a:defRPr sz="8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plotArea>
      <c:layout>
        <c:manualLayout>
          <c:layoutTarget val="inner"/>
          <c:xMode val="edge"/>
          <c:yMode val="edge"/>
          <c:x val="0.21150278293135441"/>
          <c:y val="5.128205128205128E-2"/>
          <c:w val="0.64007421150278343"/>
          <c:h val="0.82564102564102593"/>
        </c:manualLayout>
      </c:layout>
      <c:barChart>
        <c:barDir val="col"/>
        <c:grouping val="clustered"/>
        <c:ser>
          <c:idx val="1"/>
          <c:order val="0"/>
          <c:tx>
            <c:strRef>
              <c:f>'Análisis de Sensibilidad'!$D$3:$D$4</c:f>
              <c:strCache>
                <c:ptCount val="1"/>
                <c:pt idx="0">
                  <c:v>VAN</c:v>
                </c:pt>
              </c:strCache>
            </c:strRef>
          </c:tx>
          <c:spPr>
            <a:solidFill>
              <a:srgbClr val="FFCC99"/>
            </a:solidFill>
            <a:ln w="12208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Mode val="edge"/>
                  <c:yMode val="edge"/>
                  <c:x val="0.33209647495361805"/>
                  <c:y val="0.1948717948717949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46567717996289443"/>
                  <c:y val="0.8256410256410259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Mode val="edge"/>
                  <c:yMode val="edge"/>
                  <c:x val="0.72170686456400779"/>
                  <c:y val="0.15128205128205133"/>
                </c:manualLayout>
              </c:layout>
              <c:dLblPos val="outEnd"/>
              <c:showVal val="1"/>
            </c:dLbl>
            <c:spPr>
              <a:noFill/>
              <a:ln w="24416">
                <a:noFill/>
              </a:ln>
            </c:spPr>
            <c:txPr>
              <a:bodyPr/>
              <a:lstStyle/>
              <a:p>
                <a:pPr>
                  <a:defRPr sz="76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Val val="1"/>
          </c:dLbls>
          <c:cat>
            <c:numRef>
              <c:f>'Análisis de Sensibilidad'!$B$5:$B$9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cat>
          <c:val>
            <c:numRef>
              <c:f>'Análisis de Sensibilidad'!$D$5:$D$9</c:f>
              <c:numCache>
                <c:formatCode>_-* #,##0.00\ _€_-;\-* #,##0.00\ _€_-;_-* "-"??\ _€_-;_-@_-</c:formatCode>
                <c:ptCount val="5"/>
                <c:pt idx="0">
                  <c:v>1438033.37</c:v>
                </c:pt>
                <c:pt idx="1">
                  <c:v>2984527.67</c:v>
                </c:pt>
                <c:pt idx="2">
                  <c:v>-108460.93</c:v>
                </c:pt>
                <c:pt idx="3">
                  <c:v>354202.62</c:v>
                </c:pt>
                <c:pt idx="4">
                  <c:v>2521864.11</c:v>
                </c:pt>
              </c:numCache>
            </c:numRef>
          </c:val>
        </c:ser>
        <c:dLbls>
          <c:showVal val="1"/>
        </c:dLbls>
        <c:axId val="177018752"/>
        <c:axId val="177020288"/>
      </c:barChart>
      <c:lineChart>
        <c:grouping val="standard"/>
        <c:ser>
          <c:idx val="0"/>
          <c:order val="1"/>
          <c:tx>
            <c:strRef>
              <c:f>'Análisis de Sensibilidad'!$E$3:$E$4</c:f>
              <c:strCache>
                <c:ptCount val="1"/>
                <c:pt idx="0">
                  <c:v>TIR</c:v>
                </c:pt>
              </c:strCache>
            </c:strRef>
          </c:tx>
          <c:spPr>
            <a:ln w="12208">
              <a:solidFill>
                <a:srgbClr val="9933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FF990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26716141001855276"/>
                  <c:y val="0.3307692307692308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39517625231910958"/>
                  <c:y val="4.6153846153846163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52875695732838612"/>
                  <c:y val="0.5461538461538463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Mode val="edge"/>
                  <c:yMode val="edge"/>
                  <c:x val="0.63636363636363669"/>
                  <c:y val="0.49230769230769256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Mode val="edge"/>
                  <c:yMode val="edge"/>
                  <c:x val="0.76623376623376649"/>
                  <c:y val="8.2051282051282065E-2"/>
                </c:manualLayout>
              </c:layout>
              <c:dLblPos val="r"/>
              <c:showVal val="1"/>
            </c:dLbl>
            <c:spPr>
              <a:noFill/>
              <a:ln w="24416">
                <a:noFill/>
              </a:ln>
            </c:spPr>
            <c:txPr>
              <a:bodyPr/>
              <a:lstStyle/>
              <a:p>
                <a:pPr>
                  <a:defRPr sz="769" b="1" i="1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Val val="1"/>
          </c:dLbls>
          <c:cat>
            <c:numRef>
              <c:f>'Análisis de Sensibilidad'!$B$5:$B$9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cat>
          <c:val>
            <c:numRef>
              <c:f>'Análisis de Sensibilidad'!$E$5:$E$9</c:f>
              <c:numCache>
                <c:formatCode>0.00%</c:formatCode>
                <c:ptCount val="5"/>
                <c:pt idx="0">
                  <c:v>0.24900000000000005</c:v>
                </c:pt>
                <c:pt idx="1">
                  <c:v>0.37660000000000016</c:v>
                </c:pt>
                <c:pt idx="2">
                  <c:v>0.10970000000000005</c:v>
                </c:pt>
                <c:pt idx="3">
                  <c:v>0.15340000000000006</c:v>
                </c:pt>
                <c:pt idx="4">
                  <c:v>0.33720000000000011</c:v>
                </c:pt>
              </c:numCache>
            </c:numRef>
          </c:val>
        </c:ser>
        <c:dLbls>
          <c:showVal val="1"/>
        </c:dLbls>
        <c:marker val="1"/>
        <c:axId val="177038848"/>
        <c:axId val="177040384"/>
      </c:lineChart>
      <c:catAx>
        <c:axId val="177018752"/>
        <c:scaling>
          <c:orientation val="minMax"/>
        </c:scaling>
        <c:axPos val="b"/>
        <c:numFmt formatCode="General" sourceLinked="1"/>
        <c:majorTickMark val="cross"/>
        <c:tickLblPos val="nextTo"/>
        <c:spPr>
          <a:ln w="305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6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77020288"/>
        <c:crosses val="autoZero"/>
        <c:lblAlgn val="ctr"/>
        <c:lblOffset val="100"/>
        <c:tickLblSkip val="1"/>
        <c:tickMarkSkip val="1"/>
      </c:catAx>
      <c:valAx>
        <c:axId val="177020288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96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VAN</a:t>
                </a:r>
              </a:p>
            </c:rich>
          </c:tx>
          <c:layout>
            <c:manualLayout>
              <c:xMode val="edge"/>
              <c:yMode val="edge"/>
              <c:x val="1.8552875695732853E-2"/>
              <c:y val="0.42564102564102563"/>
            </c:manualLayout>
          </c:layout>
          <c:spPr>
            <a:noFill/>
            <a:ln w="24416">
              <a:noFill/>
            </a:ln>
          </c:spPr>
        </c:title>
        <c:numFmt formatCode="_-* #,##0.00\ _€_-;\-* #,##0.00\ _€_-;_-* &quot;-&quot;??\ _€_-;_-@_-" sourceLinked="1"/>
        <c:majorTickMark val="cross"/>
        <c:tickLblPos val="nextTo"/>
        <c:spPr>
          <a:ln w="305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6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77018752"/>
        <c:crosses val="autoZero"/>
        <c:crossBetween val="between"/>
      </c:valAx>
      <c:catAx>
        <c:axId val="177038848"/>
        <c:scaling>
          <c:orientation val="minMax"/>
        </c:scaling>
        <c:delete val="1"/>
        <c:axPos val="b"/>
        <c:numFmt formatCode="General" sourceLinked="1"/>
        <c:tickLblPos val="nextTo"/>
        <c:crossAx val="177040384"/>
        <c:crosses val="autoZero"/>
        <c:lblAlgn val="ctr"/>
        <c:lblOffset val="100"/>
      </c:catAx>
      <c:valAx>
        <c:axId val="177040384"/>
        <c:scaling>
          <c:orientation val="minMax"/>
        </c:scaling>
        <c:axPos val="r"/>
        <c:title>
          <c:tx>
            <c:rich>
              <a:bodyPr/>
              <a:lstStyle/>
              <a:p>
                <a:pPr>
                  <a:defRPr sz="96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TIR</a:t>
                </a:r>
              </a:p>
            </c:rich>
          </c:tx>
          <c:layout>
            <c:manualLayout>
              <c:xMode val="edge"/>
              <c:yMode val="edge"/>
              <c:x val="0.93877551020408212"/>
              <c:y val="0.43333333333333335"/>
            </c:manualLayout>
          </c:layout>
          <c:spPr>
            <a:noFill/>
            <a:ln w="24416">
              <a:noFill/>
            </a:ln>
          </c:spPr>
        </c:title>
        <c:numFmt formatCode="0.00%" sourceLinked="1"/>
        <c:majorTickMark val="cross"/>
        <c:tickLblPos val="nextTo"/>
        <c:spPr>
          <a:ln w="305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6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77038848"/>
        <c:crosses val="max"/>
        <c:crossBetween val="between"/>
      </c:valAx>
      <c:spPr>
        <a:blipFill dpi="0" rotWithShape="0">
          <a:blip xmlns:r="http://schemas.openxmlformats.org/officeDocument/2006/relationships" r:embed="rId1"/>
          <a:srcRect/>
          <a:tile tx="0" ty="0" sx="100000" sy="100000" flip="none" algn="tl"/>
        </a:blipFill>
        <a:ln w="12208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42300556586270888"/>
          <c:y val="0.93076923076923079"/>
          <c:w val="0.22820037105751392"/>
          <c:h val="6.1538461538461556E-2"/>
        </c:manualLayout>
      </c:layout>
      <c:spPr>
        <a:solidFill>
          <a:srgbClr val="FFFFFF"/>
        </a:solidFill>
        <a:ln w="3052">
          <a:solidFill>
            <a:srgbClr val="000000"/>
          </a:solidFill>
          <a:prstDash val="solid"/>
        </a:ln>
      </c:spPr>
      <c:txPr>
        <a:bodyPr/>
        <a:lstStyle/>
        <a:p>
          <a:pPr>
            <a:defRPr sz="884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ES"/>
        </a:p>
      </c:txPr>
    </c:legend>
    <c:plotVisOnly val="1"/>
    <c:dispBlanksAs val="gap"/>
  </c:chart>
  <c:spPr>
    <a:blipFill dpi="0" rotWithShape="0">
      <a:blip xmlns:r="http://schemas.openxmlformats.org/officeDocument/2006/relationships" r:embed="rId2"/>
      <a:srcRect/>
      <a:tile tx="0" ty="0" sx="100000" sy="100000" flip="none" algn="tl"/>
    </a:blipFill>
    <a:ln w="3052">
      <a:solidFill>
        <a:srgbClr val="000000"/>
      </a:solidFill>
      <a:prstDash val="solid"/>
    </a:ln>
  </c:spPr>
  <c:txPr>
    <a:bodyPr/>
    <a:lstStyle/>
    <a:p>
      <a:pPr>
        <a:defRPr sz="96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plotArea>
      <c:layout>
        <c:manualLayout>
          <c:layoutTarget val="inner"/>
          <c:xMode val="edge"/>
          <c:yMode val="edge"/>
          <c:x val="0.21834862385321108"/>
          <c:y val="5.3475935828877004E-2"/>
          <c:w val="0.63486238532110073"/>
          <c:h val="0.81818181818181845"/>
        </c:manualLayout>
      </c:layout>
      <c:barChart>
        <c:barDir val="col"/>
        <c:grouping val="clustered"/>
        <c:ser>
          <c:idx val="1"/>
          <c:order val="0"/>
          <c:tx>
            <c:strRef>
              <c:f>'Análisis de Sensibilidad'!$D$37:$D$38</c:f>
              <c:strCache>
                <c:ptCount val="1"/>
                <c:pt idx="0">
                  <c:v>VAN</c:v>
                </c:pt>
              </c:strCache>
            </c:strRef>
          </c:tx>
          <c:spPr>
            <a:solidFill>
              <a:srgbClr val="FFCC99"/>
            </a:solidFill>
            <a:ln w="12188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Mode val="edge"/>
                  <c:yMode val="edge"/>
                  <c:x val="0.33761467889908292"/>
                  <c:y val="0.12566844919786108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Mode val="edge"/>
                  <c:yMode val="edge"/>
                  <c:x val="0.72477064220183518"/>
                  <c:y val="7.4866310160427829E-2"/>
                </c:manualLayout>
              </c:layout>
              <c:dLblPos val="outEnd"/>
              <c:showVal val="1"/>
            </c:dLbl>
            <c:spPr>
              <a:noFill/>
              <a:ln w="24377">
                <a:noFill/>
              </a:ln>
            </c:spPr>
            <c:txPr>
              <a:bodyPr/>
              <a:lstStyle/>
              <a:p>
                <a:pPr>
                  <a:defRPr sz="76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Val val="1"/>
          </c:dLbls>
          <c:cat>
            <c:numRef>
              <c:f>'Análisis de Sensibilidad'!$B$5:$B$9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cat>
          <c:val>
            <c:numRef>
              <c:f>'Análisis de Sensibilidad'!$D$39:$D$43</c:f>
              <c:numCache>
                <c:formatCode>_-* #,##0.00\ _€_-;\-* #,##0.00\ _€_-;_-* "-"??\ _€_-;_-@_-</c:formatCode>
                <c:ptCount val="5"/>
                <c:pt idx="0">
                  <c:v>1438033.37</c:v>
                </c:pt>
                <c:pt idx="1">
                  <c:v>3719067.16</c:v>
                </c:pt>
                <c:pt idx="2">
                  <c:v>-881708.09</c:v>
                </c:pt>
                <c:pt idx="3">
                  <c:v>-187712.75</c:v>
                </c:pt>
                <c:pt idx="4">
                  <c:v>3063779.4899999998</c:v>
                </c:pt>
              </c:numCache>
            </c:numRef>
          </c:val>
        </c:ser>
        <c:dLbls>
          <c:showVal val="1"/>
        </c:dLbls>
        <c:axId val="128615936"/>
        <c:axId val="128617472"/>
      </c:barChart>
      <c:lineChart>
        <c:grouping val="standard"/>
        <c:ser>
          <c:idx val="0"/>
          <c:order val="1"/>
          <c:tx>
            <c:strRef>
              <c:f>'Análisis de Sensibilidad'!$E$3:$E$4</c:f>
              <c:strCache>
                <c:ptCount val="1"/>
                <c:pt idx="0">
                  <c:v>TIR</c:v>
                </c:pt>
              </c:strCache>
            </c:strRef>
          </c:tx>
          <c:spPr>
            <a:ln w="12188">
              <a:solidFill>
                <a:srgbClr val="9933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FF990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27339449541284427"/>
                  <c:y val="0.48663101604278075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4"/>
                  <c:y val="9.6256684491978578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54862385321100948"/>
                  <c:y val="0.7620320855614976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Mode val="edge"/>
                  <c:yMode val="edge"/>
                  <c:x val="0.64954128440366998"/>
                  <c:y val="0.7352941176470591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Mode val="edge"/>
                  <c:yMode val="edge"/>
                  <c:x val="0.76880733944954172"/>
                  <c:y val="0.17914438502673802"/>
                </c:manualLayout>
              </c:layout>
              <c:dLblPos val="r"/>
              <c:showVal val="1"/>
            </c:dLbl>
            <c:spPr>
              <a:noFill/>
              <a:ln w="24377">
                <a:noFill/>
              </a:ln>
            </c:spPr>
            <c:txPr>
              <a:bodyPr/>
              <a:lstStyle/>
              <a:p>
                <a:pPr>
                  <a:defRPr sz="768" b="1" i="1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Val val="1"/>
          </c:dLbls>
          <c:cat>
            <c:numRef>
              <c:f>'Análisis de Sensibilidad'!$B$5:$B$9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cat>
          <c:val>
            <c:numRef>
              <c:f>'Análisis de Sensibilidad'!$E$39:$E$43</c:f>
              <c:numCache>
                <c:formatCode>0.00%</c:formatCode>
                <c:ptCount val="5"/>
                <c:pt idx="0">
                  <c:v>0.24900000000000005</c:v>
                </c:pt>
                <c:pt idx="1">
                  <c:v>0.43700000000000011</c:v>
                </c:pt>
                <c:pt idx="2">
                  <c:v>3.3599999999999998E-2</c:v>
                </c:pt>
                <c:pt idx="3">
                  <c:v>0.10170000000000003</c:v>
                </c:pt>
                <c:pt idx="4">
                  <c:v>0.37940000000000013</c:v>
                </c:pt>
              </c:numCache>
            </c:numRef>
          </c:val>
        </c:ser>
        <c:dLbls>
          <c:showVal val="1"/>
        </c:dLbls>
        <c:marker val="1"/>
        <c:axId val="128627840"/>
        <c:axId val="128629376"/>
      </c:lineChart>
      <c:catAx>
        <c:axId val="128615936"/>
        <c:scaling>
          <c:orientation val="minMax"/>
        </c:scaling>
        <c:axPos val="b"/>
        <c:numFmt formatCode="General" sourceLinked="1"/>
        <c:majorTickMark val="cross"/>
        <c:tickLblPos val="nextTo"/>
        <c:spPr>
          <a:ln w="304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6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28617472"/>
        <c:crosses val="autoZero"/>
        <c:lblAlgn val="ctr"/>
        <c:lblOffset val="100"/>
        <c:tickLblSkip val="1"/>
        <c:tickMarkSkip val="1"/>
      </c:catAx>
      <c:valAx>
        <c:axId val="128617472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VAN</a:t>
                </a:r>
              </a:p>
            </c:rich>
          </c:tx>
          <c:layout>
            <c:manualLayout>
              <c:xMode val="edge"/>
              <c:yMode val="edge"/>
              <c:x val="2.0183486238532094E-2"/>
              <c:y val="0.42245989304812837"/>
            </c:manualLayout>
          </c:layout>
          <c:spPr>
            <a:noFill/>
            <a:ln w="24377">
              <a:noFill/>
            </a:ln>
          </c:spPr>
        </c:title>
        <c:numFmt formatCode="_-* #,##0.00\ _€_-;\-* #,##0.00\ _€_-;_-* &quot;-&quot;??\ _€_-;_-@_-" sourceLinked="1"/>
        <c:majorTickMark val="cross"/>
        <c:tickLblPos val="nextTo"/>
        <c:spPr>
          <a:ln w="304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6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28615936"/>
        <c:crosses val="autoZero"/>
        <c:crossBetween val="between"/>
      </c:valAx>
      <c:catAx>
        <c:axId val="128627840"/>
        <c:scaling>
          <c:orientation val="minMax"/>
        </c:scaling>
        <c:delete val="1"/>
        <c:axPos val="b"/>
        <c:numFmt formatCode="General" sourceLinked="1"/>
        <c:tickLblPos val="nextTo"/>
        <c:crossAx val="128629376"/>
        <c:crosses val="autoZero"/>
        <c:lblAlgn val="ctr"/>
        <c:lblOffset val="100"/>
      </c:catAx>
      <c:valAx>
        <c:axId val="128629376"/>
        <c:scaling>
          <c:orientation val="minMax"/>
        </c:scaling>
        <c:axPos val="r"/>
        <c:title>
          <c:tx>
            <c:rich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TIR</a:t>
                </a:r>
              </a:p>
            </c:rich>
          </c:tx>
          <c:layout>
            <c:manualLayout>
              <c:xMode val="edge"/>
              <c:yMode val="edge"/>
              <c:x val="0.93944954128440372"/>
              <c:y val="0.43048128342246011"/>
            </c:manualLayout>
          </c:layout>
          <c:spPr>
            <a:noFill/>
            <a:ln w="24377">
              <a:noFill/>
            </a:ln>
          </c:spPr>
        </c:title>
        <c:numFmt formatCode="0.00%" sourceLinked="1"/>
        <c:majorTickMark val="cross"/>
        <c:tickLblPos val="nextTo"/>
        <c:spPr>
          <a:ln w="304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6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28627840"/>
        <c:crosses val="max"/>
        <c:crossBetween val="between"/>
      </c:valAx>
      <c:spPr>
        <a:blipFill dpi="0" rotWithShape="0">
          <a:blip xmlns:r="http://schemas.openxmlformats.org/officeDocument/2006/relationships" r:embed="rId1"/>
          <a:srcRect/>
          <a:tile tx="0" ty="0" sx="100000" sy="100000" flip="none" algn="tl"/>
        </a:blipFill>
        <a:ln w="12188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42568807339449577"/>
          <c:y val="0.92780748663101631"/>
          <c:w val="0.22568807339449543"/>
          <c:h val="6.4171122994652399E-2"/>
        </c:manualLayout>
      </c:layout>
      <c:spPr>
        <a:solidFill>
          <a:srgbClr val="FFFFFF"/>
        </a:solidFill>
        <a:ln w="3047">
          <a:solidFill>
            <a:srgbClr val="000000"/>
          </a:solidFill>
          <a:prstDash val="solid"/>
        </a:ln>
      </c:spPr>
      <c:txPr>
        <a:bodyPr/>
        <a:lstStyle/>
        <a:p>
          <a:pPr>
            <a:defRPr sz="883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ES"/>
        </a:p>
      </c:txPr>
    </c:legend>
    <c:plotVisOnly val="1"/>
    <c:dispBlanksAs val="gap"/>
  </c:chart>
  <c:spPr>
    <a:blipFill dpi="0" rotWithShape="0">
      <a:blip xmlns:r="http://schemas.openxmlformats.org/officeDocument/2006/relationships" r:embed="rId2"/>
      <a:srcRect/>
      <a:tile tx="0" ty="0" sx="100000" sy="100000" flip="none" algn="tl"/>
    </a:blipFill>
    <a:ln w="3047">
      <a:solidFill>
        <a:srgbClr val="000000"/>
      </a:solidFill>
      <a:prstDash val="solid"/>
    </a:ln>
  </c:spPr>
  <c:txPr>
    <a:bodyPr/>
    <a:lstStyle/>
    <a:p>
      <a:pPr>
        <a:defRPr sz="96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3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2776</Words>
  <Characters>15270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CAPÍTULO  V</vt:lpstr>
    </vt:vector>
  </TitlesOfParts>
  <Company>SELECTO</Company>
  <LinksUpToDate>false</LinksUpToDate>
  <CharactersWithSpaces>18010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  V</dc:title>
  <dc:subject/>
  <dc:creator>MONICA CALLE</dc:creator>
  <cp:keywords/>
  <dc:description/>
  <cp:lastModifiedBy>Administrador</cp:lastModifiedBy>
  <cp:revision>2</cp:revision>
  <cp:lastPrinted>2006-02-19T02:18:00Z</cp:lastPrinted>
  <dcterms:created xsi:type="dcterms:W3CDTF">2009-12-14T19:17:00Z</dcterms:created>
  <dcterms:modified xsi:type="dcterms:W3CDTF">2009-12-14T19:17:00Z</dcterms:modified>
</cp:coreProperties>
</file>