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8FB" w:rsidRDefault="003021C8" w:rsidP="004330A9">
      <w:pPr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  <w:lang w:eastAsia="es-EC"/>
        </w:rPr>
        <w:drawing>
          <wp:inline distT="0" distB="0" distL="0" distR="0" wp14:anchorId="63F6F03F" wp14:editId="136B90FC">
            <wp:extent cx="788035" cy="788035"/>
            <wp:effectExtent l="0" t="0" r="0" b="0"/>
            <wp:docPr id="1" name="Imagen 1" descr="C:\Users\HP\Desktop\ESPOL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C:\Users\HP\Desktop\ESPOL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78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89F" w:rsidRPr="004F0051" w:rsidRDefault="004330A9" w:rsidP="004330A9">
      <w:pP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4F0051">
        <w:rPr>
          <w:rFonts w:ascii="Times New Roman" w:hAnsi="Times New Roman" w:cs="Times New Roman"/>
          <w:b/>
          <w:color w:val="000000"/>
          <w:sz w:val="20"/>
          <w:szCs w:val="20"/>
        </w:rPr>
        <w:t>EDCOM</w:t>
      </w:r>
    </w:p>
    <w:p w:rsidR="004C161E" w:rsidRPr="004F0051" w:rsidRDefault="00E41973" w:rsidP="004330A9">
      <w:pP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>Examen Final</w:t>
      </w:r>
      <w:r w:rsidR="003021C8" w:rsidRPr="004F0051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de </w:t>
      </w:r>
      <w:r w:rsidR="003021C8" w:rsidRPr="006155CD">
        <w:rPr>
          <w:rFonts w:ascii="Times New Roman" w:hAnsi="Times New Roman" w:cs="Times New Roman"/>
          <w:b/>
          <w:i/>
          <w:color w:val="000000"/>
          <w:sz w:val="20"/>
          <w:szCs w:val="20"/>
        </w:rPr>
        <w:t>Teoría de la Cultura</w:t>
      </w:r>
      <w:r w:rsidR="00CF489F" w:rsidRPr="004F0051"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</w:p>
    <w:p w:rsidR="003021C8" w:rsidRPr="004F0051" w:rsidRDefault="003021C8" w:rsidP="004330A9">
      <w:pP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4F0051">
        <w:rPr>
          <w:rFonts w:ascii="Times New Roman" w:hAnsi="Times New Roman" w:cs="Times New Roman"/>
          <w:b/>
          <w:color w:val="000000"/>
          <w:sz w:val="20"/>
          <w:szCs w:val="20"/>
        </w:rPr>
        <w:t>Paralelo</w:t>
      </w:r>
      <w:r w:rsidR="00A51149" w:rsidRPr="004F0051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1</w:t>
      </w:r>
    </w:p>
    <w:p w:rsidR="00A51149" w:rsidRPr="004F0051" w:rsidRDefault="00E41973" w:rsidP="004330A9">
      <w:pP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>Lunes 27 de agosto de 2018</w:t>
      </w:r>
      <w:r w:rsidR="002A2196">
        <w:rPr>
          <w:rFonts w:ascii="Times New Roman" w:hAnsi="Times New Roman" w:cs="Times New Roman"/>
          <w:b/>
          <w:color w:val="000000"/>
          <w:sz w:val="20"/>
          <w:szCs w:val="20"/>
        </w:rPr>
        <w:t>, 11:00 h.</w:t>
      </w:r>
    </w:p>
    <w:p w:rsidR="000B2ABD" w:rsidRPr="004F0051" w:rsidRDefault="00A51149" w:rsidP="004330A9">
      <w:pP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4F0051">
        <w:rPr>
          <w:rFonts w:ascii="Times New Roman" w:hAnsi="Times New Roman" w:cs="Times New Roman"/>
          <w:b/>
          <w:color w:val="000000"/>
          <w:sz w:val="20"/>
          <w:szCs w:val="20"/>
        </w:rPr>
        <w:t>Nombre del alumno o alumna:</w:t>
      </w:r>
    </w:p>
    <w:p w:rsidR="004330A9" w:rsidRDefault="00A51149" w:rsidP="00274C95">
      <w:pPr>
        <w:spacing w:after="0" w:line="240" w:lineRule="auto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4F0051">
        <w:rPr>
          <w:rFonts w:ascii="Times New Roman" w:hAnsi="Times New Roman" w:cs="Times New Roman"/>
          <w:b/>
          <w:color w:val="000000"/>
          <w:sz w:val="20"/>
          <w:szCs w:val="20"/>
        </w:rPr>
        <w:t>Cada pregunta</w:t>
      </w:r>
      <w:r w:rsidR="002638FB" w:rsidRPr="004F0051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vale 3 puntos. Máxima nota: 30</w:t>
      </w:r>
    </w:p>
    <w:p w:rsidR="00274C95" w:rsidRPr="00274C95" w:rsidRDefault="00274C95" w:rsidP="00274C95">
      <w:pPr>
        <w:spacing w:line="240" w:lineRule="auto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E41973" w:rsidRPr="006155CD" w:rsidRDefault="00E41973" w:rsidP="006155CD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6155CD">
        <w:rPr>
          <w:rFonts w:ascii="Times New Roman" w:hAnsi="Times New Roman" w:cs="Times New Roman"/>
          <w:color w:val="000000" w:themeColor="text1"/>
          <w:sz w:val="18"/>
          <w:szCs w:val="18"/>
        </w:rPr>
        <w:t>¿Qué es la colonialidad del poder?</w:t>
      </w:r>
    </w:p>
    <w:p w:rsidR="00E41973" w:rsidRPr="00E41973" w:rsidRDefault="00E41973" w:rsidP="00E41973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E41973" w:rsidRPr="00E41973" w:rsidRDefault="00E41973" w:rsidP="00E41973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41973">
        <w:rPr>
          <w:rFonts w:ascii="Times New Roman" w:hAnsi="Times New Roman" w:cs="Times New Roman"/>
          <w:color w:val="000000" w:themeColor="text1"/>
          <w:sz w:val="18"/>
          <w:szCs w:val="18"/>
        </w:rPr>
        <w:t>a) Una ideología independentista desarrollada por Simón Bolívar.</w:t>
      </w:r>
    </w:p>
    <w:p w:rsidR="00E41973" w:rsidRPr="00E41973" w:rsidRDefault="00E41973" w:rsidP="00E41973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41973">
        <w:rPr>
          <w:rFonts w:ascii="Times New Roman" w:hAnsi="Times New Roman" w:cs="Times New Roman"/>
          <w:color w:val="000000" w:themeColor="text1"/>
          <w:sz w:val="18"/>
          <w:szCs w:val="18"/>
        </w:rPr>
        <w:t>b) Una ideología indigenista que promueve la defensa de los derechos ancestrales de las comunidades amerindias.</w:t>
      </w:r>
    </w:p>
    <w:p w:rsidR="00E41973" w:rsidRPr="00E41973" w:rsidRDefault="00E41973" w:rsidP="00E41973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41973">
        <w:rPr>
          <w:rFonts w:ascii="Times New Roman" w:hAnsi="Times New Roman" w:cs="Times New Roman"/>
          <w:color w:val="000000" w:themeColor="text1"/>
          <w:sz w:val="18"/>
          <w:szCs w:val="18"/>
        </w:rPr>
        <w:t>c) Un sistema de dominio que opera en el interior de Europa.</w:t>
      </w:r>
    </w:p>
    <w:p w:rsidR="00E41973" w:rsidRDefault="00E41973" w:rsidP="00E41973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41973">
        <w:rPr>
          <w:rFonts w:ascii="Times New Roman" w:hAnsi="Times New Roman" w:cs="Times New Roman"/>
          <w:color w:val="000000" w:themeColor="text1"/>
          <w:sz w:val="18"/>
          <w:szCs w:val="18"/>
        </w:rPr>
        <w:t>d) Se refiere a todas las herencias coloniales que persisten, incluso, cuando la colonización propiamente dicha ha finalizado; es decir, son todas esas “lógicas culturales” (por ejemplo, las “clasificaciones raciales”) que todavía hoy perduran, incluso cuando las repúblicas latinoamericanas ya han alcanzado formalmente su independencia política.</w:t>
      </w:r>
    </w:p>
    <w:p w:rsidR="00274C95" w:rsidRPr="00E41973" w:rsidRDefault="00274C95" w:rsidP="00E41973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E41973" w:rsidRPr="00E41973" w:rsidRDefault="00E41973" w:rsidP="00E41973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E41973" w:rsidRPr="006155CD" w:rsidRDefault="00E41973" w:rsidP="006155CD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6155CD">
        <w:rPr>
          <w:rFonts w:ascii="Times New Roman" w:hAnsi="Times New Roman" w:cs="Times New Roman"/>
          <w:color w:val="000000" w:themeColor="text1"/>
          <w:sz w:val="18"/>
          <w:szCs w:val="18"/>
        </w:rPr>
        <w:t>¿Qué es el eurocentrismo?</w:t>
      </w:r>
    </w:p>
    <w:p w:rsidR="00E41973" w:rsidRPr="00E41973" w:rsidRDefault="00E41973" w:rsidP="00E41973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E41973" w:rsidRPr="00E41973" w:rsidRDefault="00E41973" w:rsidP="00E41973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41973">
        <w:rPr>
          <w:rFonts w:ascii="Times New Roman" w:hAnsi="Times New Roman" w:cs="Times New Roman"/>
          <w:color w:val="000000" w:themeColor="text1"/>
          <w:sz w:val="18"/>
          <w:szCs w:val="18"/>
        </w:rPr>
        <w:t>a) Aquella idea que sostiene que Europa se halla geográficamente en el centro del mundo.</w:t>
      </w:r>
    </w:p>
    <w:p w:rsidR="00E41973" w:rsidRPr="00E41973" w:rsidRDefault="00E41973" w:rsidP="00E41973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41973">
        <w:rPr>
          <w:rFonts w:ascii="Times New Roman" w:hAnsi="Times New Roman" w:cs="Times New Roman"/>
          <w:color w:val="000000" w:themeColor="text1"/>
          <w:sz w:val="18"/>
          <w:szCs w:val="18"/>
        </w:rPr>
        <w:t>b) Aquella actitud o ideología que considera que la cultura europea es superior a todas las demás y, por ende, la culminación más perfecta de la civilización humana.</w:t>
      </w:r>
    </w:p>
    <w:p w:rsidR="00E41973" w:rsidRPr="00E41973" w:rsidRDefault="00E41973" w:rsidP="00E41973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41973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c) Aquella idea que postula que Europa debe recibir y acoger en sus tierras a personas de otros lugares del mundo. </w:t>
      </w:r>
    </w:p>
    <w:p w:rsidR="00E41973" w:rsidRPr="00E41973" w:rsidRDefault="00E41973" w:rsidP="00E41973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41973">
        <w:rPr>
          <w:rFonts w:ascii="Times New Roman" w:hAnsi="Times New Roman" w:cs="Times New Roman"/>
          <w:color w:val="000000" w:themeColor="text1"/>
          <w:sz w:val="18"/>
          <w:szCs w:val="18"/>
        </w:rPr>
        <w:t>d) Aquella ideología que sostiene que Europa debería someterse a los Estados Unidos.</w:t>
      </w:r>
    </w:p>
    <w:p w:rsidR="00E41973" w:rsidRPr="006155CD" w:rsidRDefault="00E41973" w:rsidP="00E41973">
      <w:pPr>
        <w:spacing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E41973" w:rsidRPr="006155CD" w:rsidRDefault="00E41973" w:rsidP="006155CD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6155CD">
        <w:rPr>
          <w:rFonts w:ascii="Times New Roman" w:hAnsi="Times New Roman" w:cs="Times New Roman"/>
          <w:color w:val="000000" w:themeColor="text1"/>
          <w:sz w:val="18"/>
          <w:szCs w:val="18"/>
        </w:rPr>
        <w:t>¿Qué son los saberes subalternos?</w:t>
      </w:r>
    </w:p>
    <w:p w:rsidR="00E41973" w:rsidRPr="00E41973" w:rsidRDefault="00E41973" w:rsidP="00E41973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E41973" w:rsidRPr="00E41973" w:rsidRDefault="00E41973" w:rsidP="00E41973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41973">
        <w:rPr>
          <w:rFonts w:ascii="Times New Roman" w:hAnsi="Times New Roman" w:cs="Times New Roman"/>
          <w:color w:val="000000" w:themeColor="text1"/>
          <w:sz w:val="18"/>
          <w:szCs w:val="18"/>
        </w:rPr>
        <w:t>a) Las ciencias desarrolladas en los países altamente industriales.</w:t>
      </w:r>
    </w:p>
    <w:p w:rsidR="00E41973" w:rsidRPr="00E41973" w:rsidRDefault="00E41973" w:rsidP="00E41973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41973">
        <w:rPr>
          <w:rFonts w:ascii="Times New Roman" w:hAnsi="Times New Roman" w:cs="Times New Roman"/>
          <w:color w:val="000000" w:themeColor="text1"/>
          <w:sz w:val="18"/>
          <w:szCs w:val="18"/>
        </w:rPr>
        <w:t>b) Aquellos conocimientos exportados por las potencias imperialistas.</w:t>
      </w:r>
    </w:p>
    <w:p w:rsidR="00E41973" w:rsidRPr="00E41973" w:rsidRDefault="00E41973" w:rsidP="00E41973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41973">
        <w:rPr>
          <w:rFonts w:ascii="Times New Roman" w:hAnsi="Times New Roman" w:cs="Times New Roman"/>
          <w:color w:val="000000" w:themeColor="text1"/>
          <w:sz w:val="18"/>
          <w:szCs w:val="18"/>
        </w:rPr>
        <w:t>c) Aquel conjunto de conocimientos arraigados en los pueblos que han sido colonizados, y que por ello mismo han sido denigrados, marginados y considerados meras “supersticiones” carentes de auténtico valor.</w:t>
      </w:r>
    </w:p>
    <w:p w:rsidR="006155CD" w:rsidRDefault="00E41973" w:rsidP="006155CD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41973">
        <w:rPr>
          <w:rFonts w:ascii="Times New Roman" w:hAnsi="Times New Roman" w:cs="Times New Roman"/>
          <w:color w:val="000000" w:themeColor="text1"/>
          <w:sz w:val="18"/>
          <w:szCs w:val="18"/>
        </w:rPr>
        <w:t>d) Los conocimientos desarrollados por los colonos europeos.</w:t>
      </w:r>
    </w:p>
    <w:p w:rsidR="006155CD" w:rsidRDefault="006155CD" w:rsidP="006155CD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6155CD" w:rsidRPr="006155CD" w:rsidRDefault="006155CD" w:rsidP="006155CD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6155CD">
        <w:rPr>
          <w:rFonts w:ascii="Times New Roman" w:hAnsi="Times New Roman" w:cs="Times New Roman"/>
          <w:color w:val="000000" w:themeColor="text1"/>
          <w:sz w:val="18"/>
          <w:szCs w:val="18"/>
        </w:rPr>
        <w:t>El estructuralismo es una corriente del pensamiento que surge de:</w:t>
      </w:r>
    </w:p>
    <w:p w:rsidR="006155CD" w:rsidRPr="006155CD" w:rsidRDefault="006155CD" w:rsidP="006155CD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6155CD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a)      </w:t>
      </w:r>
      <w:r w:rsidR="00274C95">
        <w:rPr>
          <w:rFonts w:ascii="Times New Roman" w:hAnsi="Times New Roman" w:cs="Times New Roman"/>
          <w:color w:val="000000" w:themeColor="text1"/>
          <w:sz w:val="18"/>
          <w:szCs w:val="18"/>
        </w:rPr>
        <w:t>L</w:t>
      </w:r>
      <w:r w:rsidRPr="006155CD">
        <w:rPr>
          <w:rFonts w:ascii="Times New Roman" w:hAnsi="Times New Roman" w:cs="Times New Roman"/>
          <w:color w:val="000000" w:themeColor="text1"/>
          <w:sz w:val="18"/>
          <w:szCs w:val="18"/>
        </w:rPr>
        <w:t>a teoría lingüística de Ferdinand de Saussure</w:t>
      </w:r>
    </w:p>
    <w:p w:rsidR="006155CD" w:rsidRPr="006155CD" w:rsidRDefault="006155CD" w:rsidP="006155C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6155CD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b)      </w:t>
      </w:r>
      <w:r w:rsidR="00274C95">
        <w:rPr>
          <w:rFonts w:ascii="Times New Roman" w:hAnsi="Times New Roman" w:cs="Times New Roman"/>
          <w:color w:val="000000" w:themeColor="text1"/>
          <w:sz w:val="18"/>
          <w:szCs w:val="18"/>
        </w:rPr>
        <w:t>L</w:t>
      </w:r>
      <w:r w:rsidRPr="006155CD">
        <w:rPr>
          <w:rFonts w:ascii="Times New Roman" w:hAnsi="Times New Roman" w:cs="Times New Roman"/>
          <w:color w:val="000000" w:themeColor="text1"/>
          <w:sz w:val="18"/>
          <w:szCs w:val="18"/>
        </w:rPr>
        <w:t>a teoría semiótica de Umberto Eco</w:t>
      </w:r>
    </w:p>
    <w:p w:rsidR="006155CD" w:rsidRPr="006155CD" w:rsidRDefault="006155CD" w:rsidP="006155C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6155CD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c)      </w:t>
      </w:r>
      <w:r w:rsidR="00274C95">
        <w:rPr>
          <w:rFonts w:ascii="Times New Roman" w:hAnsi="Times New Roman" w:cs="Times New Roman"/>
          <w:color w:val="000000" w:themeColor="text1"/>
          <w:sz w:val="18"/>
          <w:szCs w:val="18"/>
        </w:rPr>
        <w:t>L</w:t>
      </w:r>
      <w:r w:rsidRPr="006155CD">
        <w:rPr>
          <w:rFonts w:ascii="Times New Roman" w:hAnsi="Times New Roman" w:cs="Times New Roman"/>
          <w:color w:val="000000" w:themeColor="text1"/>
          <w:sz w:val="18"/>
          <w:szCs w:val="18"/>
        </w:rPr>
        <w:t>as teorías etnológicas de Claude Lévi-Strauss</w:t>
      </w:r>
    </w:p>
    <w:p w:rsidR="006155CD" w:rsidRDefault="006155CD" w:rsidP="006155C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6155CD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d)      </w:t>
      </w:r>
      <w:r w:rsidR="00274C95">
        <w:rPr>
          <w:rFonts w:ascii="Times New Roman" w:hAnsi="Times New Roman" w:cs="Times New Roman"/>
          <w:color w:val="000000" w:themeColor="text1"/>
          <w:sz w:val="18"/>
          <w:szCs w:val="18"/>
        </w:rPr>
        <w:t>L</w:t>
      </w:r>
      <w:r w:rsidRPr="006155CD">
        <w:rPr>
          <w:rFonts w:ascii="Times New Roman" w:hAnsi="Times New Roman" w:cs="Times New Roman"/>
          <w:color w:val="000000" w:themeColor="text1"/>
          <w:sz w:val="18"/>
          <w:szCs w:val="18"/>
        </w:rPr>
        <w:t>a Matri</w:t>
      </w:r>
      <w:r w:rsidR="00274C95">
        <w:rPr>
          <w:rFonts w:ascii="Times New Roman" w:hAnsi="Times New Roman" w:cs="Times New Roman"/>
          <w:color w:val="000000" w:themeColor="text1"/>
          <w:sz w:val="18"/>
          <w:szCs w:val="18"/>
        </w:rPr>
        <w:t>z de Pensamiento Colonial de Aní</w:t>
      </w:r>
      <w:r w:rsidRPr="006155CD">
        <w:rPr>
          <w:rFonts w:ascii="Times New Roman" w:hAnsi="Times New Roman" w:cs="Times New Roman"/>
          <w:color w:val="000000" w:themeColor="text1"/>
          <w:sz w:val="18"/>
          <w:szCs w:val="18"/>
        </w:rPr>
        <w:t>bal Quijano</w:t>
      </w:r>
    </w:p>
    <w:p w:rsidR="00274C95" w:rsidRDefault="00274C95" w:rsidP="00274C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274C95" w:rsidRDefault="00274C95" w:rsidP="00274C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6155CD" w:rsidRPr="00274C95" w:rsidRDefault="006155CD" w:rsidP="00274C95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74C95">
        <w:rPr>
          <w:rFonts w:ascii="Times New Roman" w:hAnsi="Times New Roman" w:cs="Times New Roman"/>
          <w:color w:val="000000" w:themeColor="text1"/>
          <w:sz w:val="18"/>
          <w:szCs w:val="18"/>
        </w:rPr>
        <w:t>De acuerdo a la corriente de los Estudios Subalternos, el subalterno es al mismo tiempo:</w:t>
      </w:r>
    </w:p>
    <w:p w:rsidR="00274C95" w:rsidRDefault="00274C95" w:rsidP="006155CD">
      <w:pPr>
        <w:spacing w:after="0" w:line="240" w:lineRule="auto"/>
        <w:ind w:hanging="360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6155CD" w:rsidRPr="006155CD" w:rsidRDefault="006155CD" w:rsidP="00274C9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6155CD">
        <w:rPr>
          <w:rFonts w:ascii="Times New Roman" w:hAnsi="Times New Roman" w:cs="Times New Roman"/>
          <w:color w:val="000000" w:themeColor="text1"/>
          <w:sz w:val="18"/>
          <w:szCs w:val="18"/>
        </w:rPr>
        <w:t>a)      Dominante</w:t>
      </w:r>
    </w:p>
    <w:p w:rsidR="006155CD" w:rsidRPr="006155CD" w:rsidRDefault="006155CD" w:rsidP="00274C95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6155CD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b)      Abyecto </w:t>
      </w:r>
    </w:p>
    <w:p w:rsidR="006155CD" w:rsidRPr="006155CD" w:rsidRDefault="006155CD" w:rsidP="00274C9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6155CD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c)      Autónomo </w:t>
      </w:r>
    </w:p>
    <w:p w:rsidR="006155CD" w:rsidRDefault="006155CD" w:rsidP="00274C95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6155CD">
        <w:rPr>
          <w:rFonts w:ascii="Times New Roman" w:hAnsi="Times New Roman" w:cs="Times New Roman"/>
          <w:color w:val="000000" w:themeColor="text1"/>
          <w:sz w:val="18"/>
          <w:szCs w:val="18"/>
        </w:rPr>
        <w:t>d)      Hegemónico</w:t>
      </w:r>
    </w:p>
    <w:p w:rsidR="006155CD" w:rsidRPr="006155CD" w:rsidRDefault="00274C95" w:rsidP="00274C9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lastRenderedPageBreak/>
        <w:t xml:space="preserve">6. </w:t>
      </w:r>
      <w:r w:rsidR="006155CD" w:rsidRPr="006155CD">
        <w:rPr>
          <w:rFonts w:ascii="Times New Roman" w:hAnsi="Times New Roman" w:cs="Times New Roman"/>
          <w:color w:val="000000" w:themeColor="text1"/>
          <w:sz w:val="18"/>
          <w:szCs w:val="18"/>
        </w:rPr>
        <w:t>La inestabilidad entre signos y significados es considerado positivo por:</w:t>
      </w:r>
    </w:p>
    <w:p w:rsidR="006155CD" w:rsidRPr="00302E63" w:rsidRDefault="006155CD" w:rsidP="00274C9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</w:pPr>
      <w:r w:rsidRPr="00302E63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a)      Alexandre Kojève</w:t>
      </w:r>
    </w:p>
    <w:p w:rsidR="006155CD" w:rsidRPr="00302E63" w:rsidRDefault="006155CD" w:rsidP="00274C9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</w:pPr>
      <w:r w:rsidRPr="00302E63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b)      Ferdinand de Saussure </w:t>
      </w:r>
    </w:p>
    <w:p w:rsidR="006155CD" w:rsidRPr="006155CD" w:rsidRDefault="006155CD" w:rsidP="00274C9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6155CD">
        <w:rPr>
          <w:rFonts w:ascii="Times New Roman" w:hAnsi="Times New Roman" w:cs="Times New Roman"/>
          <w:color w:val="000000" w:themeColor="text1"/>
          <w:sz w:val="18"/>
          <w:szCs w:val="18"/>
        </w:rPr>
        <w:t>c)      Charles Sanders Peirce</w:t>
      </w:r>
    </w:p>
    <w:p w:rsidR="006155CD" w:rsidRPr="006155CD" w:rsidRDefault="006155CD" w:rsidP="00274C95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6155CD">
        <w:rPr>
          <w:rFonts w:ascii="Times New Roman" w:hAnsi="Times New Roman" w:cs="Times New Roman"/>
          <w:color w:val="000000" w:themeColor="text1"/>
          <w:sz w:val="18"/>
          <w:szCs w:val="18"/>
        </w:rPr>
        <w:t>d)      Jacques Derrida y Roland Barthes</w:t>
      </w:r>
    </w:p>
    <w:p w:rsidR="006155CD" w:rsidRPr="00213389" w:rsidRDefault="006155CD" w:rsidP="00E41973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E41973" w:rsidRPr="00213389" w:rsidRDefault="00E41973" w:rsidP="00E41973">
      <w:pPr>
        <w:pStyle w:val="Prrafodelista"/>
        <w:spacing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213389" w:rsidRPr="00213389" w:rsidRDefault="00213389" w:rsidP="0021338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13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7. La relación entre los 3 entornos del ser humano en la actualidad se define como: </w:t>
      </w:r>
    </w:p>
    <w:p w:rsidR="00213389" w:rsidRDefault="00213389" w:rsidP="00213389">
      <w:pPr>
        <w:spacing w:before="100" w:beforeAutospacing="1" w:after="0" w:line="240" w:lineRule="auto"/>
        <w:ind w:firstLine="708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a) </w:t>
      </w:r>
      <w:r w:rsidRPr="00213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El cuerpo humano versus las ciudades y las innovaciones tecnológicas. </w:t>
      </w:r>
    </w:p>
    <w:p w:rsidR="00213389" w:rsidRPr="00213389" w:rsidRDefault="00213389" w:rsidP="00213389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b) </w:t>
      </w:r>
      <w:r w:rsidRPr="00213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La naturaleza y la interacción entre las polis y las innovaciones tecnológicas. </w:t>
      </w:r>
    </w:p>
    <w:p w:rsidR="00213389" w:rsidRPr="00213389" w:rsidRDefault="00213389" w:rsidP="00213389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c) </w:t>
      </w:r>
      <w:r w:rsidRPr="00213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El cuerpo humano versus la innovación tecnológica. </w:t>
      </w:r>
    </w:p>
    <w:p w:rsidR="00213389" w:rsidRPr="00213389" w:rsidRDefault="00213389" w:rsidP="00213389">
      <w:pPr>
        <w:spacing w:after="100" w:afterAutospacing="1" w:line="240" w:lineRule="auto"/>
        <w:ind w:left="720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d) </w:t>
      </w:r>
      <w:r w:rsidRPr="00213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La naturaleza y el entendimiento del cuerpo digital y la identidad social. </w:t>
      </w:r>
    </w:p>
    <w:p w:rsidR="00213389" w:rsidRPr="00213389" w:rsidRDefault="00213389" w:rsidP="0021338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13389">
        <w:rPr>
          <w:rFonts w:ascii="Times New Roman" w:hAnsi="Times New Roman" w:cs="Times New Roman"/>
          <w:color w:val="000000" w:themeColor="text1"/>
          <w:sz w:val="18"/>
          <w:szCs w:val="18"/>
        </w:rPr>
        <w:t>8. Escoja los dos postulados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(de los tres siguientes)</w:t>
      </w:r>
      <w:r w:rsidRPr="00213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más importantes para definir la relación entre 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>“</w:t>
      </w:r>
      <w:r w:rsidRPr="00213389">
        <w:rPr>
          <w:rFonts w:ascii="Times New Roman" w:hAnsi="Times New Roman" w:cs="Times New Roman"/>
          <w:color w:val="000000" w:themeColor="text1"/>
          <w:sz w:val="18"/>
          <w:szCs w:val="18"/>
        </w:rPr>
        <w:t>decolonialidad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>”</w:t>
      </w:r>
      <w:r w:rsidRPr="00213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y la 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>“</w:t>
      </w:r>
      <w:r w:rsidRPr="00213389">
        <w:rPr>
          <w:rFonts w:ascii="Times New Roman" w:hAnsi="Times New Roman" w:cs="Times New Roman"/>
          <w:color w:val="000000" w:themeColor="text1"/>
          <w:sz w:val="18"/>
          <w:szCs w:val="18"/>
        </w:rPr>
        <w:t>poética de la resistencia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>”. Ejemplifique con un caso real</w:t>
      </w:r>
      <w:r w:rsidRPr="00213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la relación. </w:t>
      </w:r>
    </w:p>
    <w:p w:rsidR="00213389" w:rsidRPr="00213389" w:rsidRDefault="00213389" w:rsidP="00213389">
      <w:pPr>
        <w:pStyle w:val="Prrafodelista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13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La colonialidad se moviliza no sólo en el nivel discusivo o institucional, sino que además modela los afectos, percepciones y emociones que tejen las subjetividades. </w:t>
      </w:r>
    </w:p>
    <w:p w:rsidR="00213389" w:rsidRPr="00213389" w:rsidRDefault="00213389" w:rsidP="0021338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13389">
        <w:rPr>
          <w:rFonts w:ascii="Times New Roman" w:hAnsi="Times New Roman" w:cs="Times New Roman"/>
          <w:color w:val="000000" w:themeColor="text1"/>
          <w:sz w:val="18"/>
          <w:szCs w:val="18"/>
        </w:rPr>
        <w:t>Las prácticas narrativas, en sus dimensiones poéticas, éticas y políticas crean condiciones para un diálogo decolonial.</w:t>
      </w:r>
    </w:p>
    <w:p w:rsidR="00213389" w:rsidRPr="00213389" w:rsidRDefault="00213389" w:rsidP="0021338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13389">
        <w:rPr>
          <w:rFonts w:ascii="Times New Roman" w:hAnsi="Times New Roman" w:cs="Times New Roman"/>
          <w:color w:val="000000" w:themeColor="text1"/>
          <w:sz w:val="18"/>
          <w:szCs w:val="18"/>
        </w:rPr>
        <w:t>La decolonialidad, no debe renunciar a la universalidad en el nombre de la particularidad, sino universalizar la particularidad.</w:t>
      </w:r>
    </w:p>
    <w:p w:rsidR="00213389" w:rsidRPr="00213389" w:rsidRDefault="00213389" w:rsidP="00302E63">
      <w:pPr>
        <w:spacing w:after="0" w:line="36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13389">
        <w:rPr>
          <w:rFonts w:ascii="Times New Roman" w:hAnsi="Times New Roman" w:cs="Times New Roman"/>
          <w:color w:val="000000" w:themeColor="text1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>___________________</w:t>
      </w:r>
      <w:r w:rsidRPr="00213389">
        <w:rPr>
          <w:rFonts w:ascii="Times New Roman" w:hAnsi="Times New Roman" w:cs="Times New Roman"/>
          <w:color w:val="000000" w:themeColor="text1"/>
          <w:sz w:val="18"/>
          <w:szCs w:val="18"/>
        </w:rPr>
        <w:t>_____________________________________________________________________________________________________________________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>___________________</w:t>
      </w:r>
      <w:r w:rsidR="00302E63" w:rsidRPr="00213389">
        <w:rPr>
          <w:rFonts w:ascii="Times New Roman" w:hAnsi="Times New Roman" w:cs="Times New Roman"/>
          <w:color w:val="000000" w:themeColor="text1"/>
          <w:sz w:val="18"/>
          <w:szCs w:val="18"/>
        </w:rPr>
        <w:t>_____________________________________________________________________________________________________________________________________</w:t>
      </w:r>
      <w:r w:rsidR="00302E63">
        <w:rPr>
          <w:rFonts w:ascii="Times New Roman" w:hAnsi="Times New Roman" w:cs="Times New Roman"/>
          <w:color w:val="000000" w:themeColor="text1"/>
          <w:sz w:val="18"/>
          <w:szCs w:val="18"/>
        </w:rPr>
        <w:t>___________________</w:t>
      </w:r>
      <w:r w:rsidR="00302E63" w:rsidRPr="00213389">
        <w:rPr>
          <w:rFonts w:ascii="Times New Roman" w:hAnsi="Times New Roman" w:cs="Times New Roman"/>
          <w:color w:val="000000" w:themeColor="text1"/>
          <w:sz w:val="18"/>
          <w:szCs w:val="18"/>
        </w:rPr>
        <w:t>____________________________________________</w:t>
      </w:r>
    </w:p>
    <w:p w:rsidR="00213389" w:rsidRPr="00213389" w:rsidRDefault="00213389" w:rsidP="00213389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13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                </w:t>
      </w:r>
    </w:p>
    <w:p w:rsidR="00325DF2" w:rsidRDefault="00325DF2" w:rsidP="00213389">
      <w:pPr>
        <w:spacing w:after="0" w:line="240" w:lineRule="auto"/>
        <w:ind w:firstLine="348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213389" w:rsidRPr="00213389" w:rsidRDefault="00213389" w:rsidP="00213389">
      <w:pPr>
        <w:spacing w:after="0" w:line="240" w:lineRule="auto"/>
        <w:ind w:firstLine="348"/>
        <w:rPr>
          <w:rFonts w:ascii="Times New Roman" w:hAnsi="Times New Roman" w:cs="Times New Roman"/>
          <w:color w:val="000000" w:themeColor="text1"/>
          <w:sz w:val="18"/>
          <w:szCs w:val="18"/>
        </w:rPr>
      </w:pPr>
      <w:bookmarkStart w:id="0" w:name="_GoBack"/>
      <w:bookmarkEnd w:id="0"/>
      <w:r w:rsidRPr="00213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9. La intertextualidad se define como: </w:t>
      </w:r>
    </w:p>
    <w:p w:rsidR="00213389" w:rsidRPr="00213389" w:rsidRDefault="00213389" w:rsidP="00213389">
      <w:pPr>
        <w:pStyle w:val="Prrafodelista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13389">
        <w:rPr>
          <w:rFonts w:ascii="Times New Roman" w:hAnsi="Times New Roman" w:cs="Times New Roman"/>
          <w:color w:val="000000" w:themeColor="text1"/>
          <w:sz w:val="18"/>
          <w:szCs w:val="18"/>
        </w:rPr>
        <w:t>Eterno retorno o retorno al infinito</w:t>
      </w:r>
    </w:p>
    <w:p w:rsidR="00213389" w:rsidRPr="00213389" w:rsidRDefault="00213389" w:rsidP="0021338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13389">
        <w:rPr>
          <w:rFonts w:ascii="Times New Roman" w:hAnsi="Times New Roman" w:cs="Times New Roman"/>
          <w:color w:val="000000" w:themeColor="text1"/>
          <w:sz w:val="18"/>
          <w:szCs w:val="18"/>
        </w:rPr>
        <w:t>Hipertexto solo en las ciudades digitales</w:t>
      </w:r>
    </w:p>
    <w:p w:rsidR="00213389" w:rsidRPr="00213389" w:rsidRDefault="00213389" w:rsidP="0021338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13389">
        <w:rPr>
          <w:rFonts w:ascii="Times New Roman" w:hAnsi="Times New Roman" w:cs="Times New Roman"/>
          <w:color w:val="000000" w:themeColor="text1"/>
          <w:sz w:val="18"/>
          <w:szCs w:val="18"/>
        </w:rPr>
        <w:t>Estimulante cultural o creador de patrones</w:t>
      </w:r>
    </w:p>
    <w:p w:rsidR="00213389" w:rsidRPr="00213389" w:rsidRDefault="00213389" w:rsidP="0021338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13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Voluntad de poder en la escritura. </w:t>
      </w:r>
    </w:p>
    <w:p w:rsidR="00213389" w:rsidRPr="00213389" w:rsidRDefault="00213389" w:rsidP="00213389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13389">
        <w:rPr>
          <w:rFonts w:ascii="Times New Roman" w:hAnsi="Times New Roman" w:cs="Times New Roman"/>
          <w:color w:val="000000" w:themeColor="text1"/>
          <w:sz w:val="18"/>
          <w:szCs w:val="18"/>
        </w:rPr>
        <w:t> </w:t>
      </w:r>
    </w:p>
    <w:p w:rsidR="00213389" w:rsidRPr="00213389" w:rsidRDefault="00213389" w:rsidP="00213389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13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10. Dentro de la dinámica de la obra abierta existen 3 límites importantes, estos son: </w:t>
      </w:r>
    </w:p>
    <w:p w:rsidR="00213389" w:rsidRPr="00213389" w:rsidRDefault="00213389" w:rsidP="00213389">
      <w:pPr>
        <w:pStyle w:val="Prrafodelista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13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Dinámica cognitiva, informativa y estética </w:t>
      </w:r>
    </w:p>
    <w:p w:rsidR="00213389" w:rsidRPr="00213389" w:rsidRDefault="00213389" w:rsidP="0021338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13389">
        <w:rPr>
          <w:rFonts w:ascii="Times New Roman" w:hAnsi="Times New Roman" w:cs="Times New Roman"/>
          <w:color w:val="000000" w:themeColor="text1"/>
          <w:sz w:val="18"/>
          <w:szCs w:val="18"/>
        </w:rPr>
        <w:t>Dinámica estilística, analítica y crítica</w:t>
      </w:r>
    </w:p>
    <w:p w:rsidR="00213389" w:rsidRPr="00213389" w:rsidRDefault="00213389" w:rsidP="0021338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13389">
        <w:rPr>
          <w:rFonts w:ascii="Times New Roman" w:hAnsi="Times New Roman" w:cs="Times New Roman"/>
          <w:color w:val="000000" w:themeColor="text1"/>
          <w:sz w:val="18"/>
          <w:szCs w:val="18"/>
        </w:rPr>
        <w:t>Dinámica purista, estructuralista e incompleta</w:t>
      </w:r>
    </w:p>
    <w:p w:rsidR="00213389" w:rsidRPr="00213389" w:rsidRDefault="00213389" w:rsidP="0021338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2133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Dinámica interpretativa, única y necesaria. </w:t>
      </w:r>
    </w:p>
    <w:p w:rsidR="00F24798" w:rsidRPr="00213389" w:rsidRDefault="00F24798" w:rsidP="00F24798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sectPr w:rsidR="00F24798" w:rsidRPr="0021338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D5ACC"/>
    <w:multiLevelType w:val="hybridMultilevel"/>
    <w:tmpl w:val="59406B8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541C79"/>
    <w:multiLevelType w:val="multilevel"/>
    <w:tmpl w:val="2FB8F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456A46"/>
    <w:multiLevelType w:val="multilevel"/>
    <w:tmpl w:val="1362E1A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DB26BA"/>
    <w:multiLevelType w:val="hybridMultilevel"/>
    <w:tmpl w:val="891EBF70"/>
    <w:lvl w:ilvl="0" w:tplc="0AB2B21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301E5F"/>
    <w:multiLevelType w:val="hybridMultilevel"/>
    <w:tmpl w:val="DBD29012"/>
    <w:lvl w:ilvl="0" w:tplc="9D1CD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891674"/>
    <w:multiLevelType w:val="multilevel"/>
    <w:tmpl w:val="D2CA4E1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6F11BE"/>
    <w:multiLevelType w:val="multilevel"/>
    <w:tmpl w:val="A976883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E027CE"/>
    <w:multiLevelType w:val="hybridMultilevel"/>
    <w:tmpl w:val="FD5E987A"/>
    <w:lvl w:ilvl="0" w:tplc="9CF614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C17CE7"/>
    <w:multiLevelType w:val="hybridMultilevel"/>
    <w:tmpl w:val="10BC3ED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565139"/>
    <w:multiLevelType w:val="hybridMultilevel"/>
    <w:tmpl w:val="1F6CD2F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9"/>
  </w:num>
  <w:num w:numId="6">
    <w:abstractNumId w:val="8"/>
  </w:num>
  <w:num w:numId="7">
    <w:abstractNumId w:val="1"/>
  </w:num>
  <w:num w:numId="8">
    <w:abstractNumId w:val="6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D2B"/>
    <w:rsid w:val="00027DAF"/>
    <w:rsid w:val="000B2ABD"/>
    <w:rsid w:val="001C5F2F"/>
    <w:rsid w:val="00204D2B"/>
    <w:rsid w:val="00213389"/>
    <w:rsid w:val="002638FB"/>
    <w:rsid w:val="00274C95"/>
    <w:rsid w:val="002A2196"/>
    <w:rsid w:val="003021C8"/>
    <w:rsid w:val="00302E63"/>
    <w:rsid w:val="00325DF2"/>
    <w:rsid w:val="004330A9"/>
    <w:rsid w:val="004C161E"/>
    <w:rsid w:val="004F0051"/>
    <w:rsid w:val="006155CD"/>
    <w:rsid w:val="006443C0"/>
    <w:rsid w:val="007E2ED7"/>
    <w:rsid w:val="008055FA"/>
    <w:rsid w:val="008138B8"/>
    <w:rsid w:val="00931CAF"/>
    <w:rsid w:val="009604DB"/>
    <w:rsid w:val="00A51149"/>
    <w:rsid w:val="00CB1453"/>
    <w:rsid w:val="00CD58E1"/>
    <w:rsid w:val="00CF489F"/>
    <w:rsid w:val="00E41973"/>
    <w:rsid w:val="00F24798"/>
    <w:rsid w:val="00FB3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48B697F-CE78-4D8F-ADDA-641A1F43A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638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0396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8682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87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9855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7893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9226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699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274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325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707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63803">
          <w:marLeft w:val="144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3861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391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0810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7517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707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5685">
          <w:marLeft w:val="144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1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26893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7058">
          <w:marLeft w:val="106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61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98840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74373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4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16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5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4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2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8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6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0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7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4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5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6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0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1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682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25</cp:revision>
  <dcterms:created xsi:type="dcterms:W3CDTF">2018-08-19T14:37:00Z</dcterms:created>
  <dcterms:modified xsi:type="dcterms:W3CDTF">2018-08-24T21:31:00Z</dcterms:modified>
</cp:coreProperties>
</file>