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waybkgnd" type="frame"/>
    </v:background>
  </w:background>
  <w:body>
    <w:p w:rsidR="00000000" w:rsidRDefault="00027B83">
      <w:pPr>
        <w:pStyle w:val="Ttulo"/>
      </w:pPr>
      <w:r>
        <w:t>ÍNDICE DE TABLAS</w:t>
      </w:r>
    </w:p>
    <w:p w:rsidR="00000000" w:rsidRDefault="00027B83">
      <w:pPr>
        <w:pStyle w:val="Ttulo"/>
      </w:pPr>
    </w:p>
    <w:tbl>
      <w:tblPr>
        <w:tblW w:w="7285" w:type="dxa"/>
        <w:jc w:val="center"/>
        <w:tblCellMar>
          <w:left w:w="113" w:type="dxa"/>
          <w:right w:w="0" w:type="dxa"/>
        </w:tblCellMar>
        <w:tblLook w:val="0000"/>
      </w:tblPr>
      <w:tblGrid>
        <w:gridCol w:w="1071"/>
        <w:gridCol w:w="5813"/>
        <w:gridCol w:w="401"/>
      </w:tblGrid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pStyle w:val="xl22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TABLA 3.1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Capacidad Efectiva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73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la Capacidad Efectiva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74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Potencia Máxima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74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la Potenc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ia Máxima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75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Potencia Mínima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76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3.6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la Potencia Mínima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77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3.7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Generación Bruta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77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3.8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pStyle w:val="xl22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Medidas de Tendencia Central  y Dispersión de Generación Bruta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>8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3.9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Consumo Interno UES (TE)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79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Consumo Interno UES (TE)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80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Consumo Interno UFS (SNI)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80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Consumo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Específi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 UFS (SNI)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81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Generación Neta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82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3.14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Generación Neta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83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Energía Entregada a EMELESA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83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3.16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Ene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rgía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Entregada a EMELESA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84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3.17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Horas Periodo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85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3.18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Horas Periodo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86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3.19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Horas Operación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86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Horas 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peración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87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Horas Equivalentes en Reserva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88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la Horas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Equivalentes en Reserva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89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Horas Fuera de Servicio por Mantenimiento Programado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89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.24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Horas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Fuera de Servicio por Mantenimiento Programado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90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y Dispersión de Horas F/S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 Mantenimiento Correctivo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92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3.26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Horas de F/S por Falla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92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TABLA 3.27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Horas F/S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por Falla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93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3.28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Horas Equivalentes en Decremento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94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3.29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Horas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Equivalentes en Decremento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95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uencia de Horas Disponibles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95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Disponibles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96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Horas Indisponibles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97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Horas Indisponibles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98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3.34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uencia de Energía Disponible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98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 Energía Disponible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99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3.36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Energía Programada por el CENACE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100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3.37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Energía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Programada por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CENACE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101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3.38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Energía no Generada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101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3.39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Energía no Generada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102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Reserva al Sistema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103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Reserv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 Sistema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104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Energía no Generada por Decremento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104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Energía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 Generada por Decremento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105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3.44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Energía no Generada por Mantenimiento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Programado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>06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Energía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 Generada por Mantenimiento Programado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107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3.46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Energía no Generada por Mantenimiento Correctivo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107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3.47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ergía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 Generada por Mantenimiento Correctivo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108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3.48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Energía no Generada por Falla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109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3.49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Medidas de Tendencia Central  y Dispersión de Energía</w:t>
            </w:r>
          </w:p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 Generada por Falla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109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Confiabilidad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110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51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Factor de Planta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111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3.52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Disponibilidad Propia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113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3.53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Indisponibilidad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114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TABLA 3.54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Factor de Reserva al Sistema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116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3.55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Factor de Decremento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117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56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Factor de Falla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119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3.57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Decremento Capacidad Original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120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3.58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Consumo Específico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122</w:t>
            </w:r>
          </w:p>
        </w:tc>
      </w:tr>
      <w:tr w:rsidR="00000000">
        <w:trPr>
          <w:trHeight w:val="46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3.59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Frecuencia de Consumo de Fuel Oil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123</w:t>
            </w:r>
          </w:p>
          <w:p w:rsidR="00000000" w:rsidRDefault="00027B83">
            <w:pPr>
              <w:jc w:val="right"/>
              <w:rPr>
                <w:rFonts w:ascii="Arial" w:eastAsia="Arial Unicode MS" w:hAnsi="Arial" w:cs="Arial"/>
                <w:color w:val="auto"/>
                <w:sz w:val="18"/>
                <w:szCs w:val="20"/>
              </w:rPr>
            </w:pPr>
          </w:p>
        </w:tc>
      </w:tr>
    </w:tbl>
    <w:p w:rsidR="00000000" w:rsidRDefault="00027B83">
      <w:pPr>
        <w:rPr>
          <w:rFonts w:ascii="Arial" w:hAnsi="Arial" w:cs="Arial"/>
          <w:color w:val="auto"/>
          <w:sz w:val="18"/>
        </w:rPr>
      </w:pPr>
    </w:p>
    <w:tbl>
      <w:tblPr>
        <w:tblpPr w:leftFromText="141" w:rightFromText="141" w:vertAnchor="text" w:tblpXSpec="center" w:tblpY="1"/>
        <w:tblOverlap w:val="never"/>
        <w:tblW w:w="7395" w:type="dxa"/>
        <w:tblCellMar>
          <w:left w:w="0" w:type="dxa"/>
          <w:right w:w="0" w:type="dxa"/>
        </w:tblCellMar>
        <w:tblLook w:val="0000"/>
      </w:tblPr>
      <w:tblGrid>
        <w:gridCol w:w="1071"/>
        <w:gridCol w:w="5784"/>
        <w:gridCol w:w="540"/>
      </w:tblGrid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TABLA 4.1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Prueba Chi-Cuadrada para Capacidad Efectiva y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Energía Entregada a EMELESA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130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4.2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Prueba Chi-Cuadrada para Potencia Máxima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y Generación Bruta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130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4.3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Prueba Chi-Cuadrada para Potencia Mínima y Horas Periodo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131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4.4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Prueba Chi-Cuadrada para Consumo Interno UES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y Consumo Interno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 UFS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132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4.5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Prueba Chi-Cuadrada para Generación Neta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y Horas Operación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132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4.6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Prueba Chi-Cuadrada para Horas Disponibles y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Energía no Generada por Mantenimiento Programado             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133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4.7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Análisis de Correspondencia para Ín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dices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Factor de Planta e Indisponibilidad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135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4.8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Análisis de Correspondencia para Índices Factor de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Reserva al Sistema y Factor de Decremento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136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4.9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Análisis de Correspondencia para Índices Factor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de Reserva al Sistema y Factor de Decr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emento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136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4.10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Análisis de Correspondencia para Índices 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Factor de Falla y Factor de Decremento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137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4.11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Medidas de discriminación para Índices y Fuel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142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4.12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Medidas de Saturación para Índices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143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4.13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Medidas de Satura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ción para variables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145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4.14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Autovalores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146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4.15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Matriz de Componentes Rotados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147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4.16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Coeficientes de Modelo para Factor de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Decremento Capacidad Original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150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4.17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Coeficientes de Modelo para</w:t>
            </w: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Factor de Reserva al Sistema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151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4.18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Coeficientes de Modelo para Disponibilidad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152</w:t>
            </w:r>
          </w:p>
        </w:tc>
      </w:tr>
      <w:tr w:rsidR="00000000">
        <w:trPr>
          <w:trHeight w:val="465"/>
        </w:trPr>
        <w:tc>
          <w:tcPr>
            <w:tcW w:w="10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TABLA 4.19</w:t>
            </w:r>
          </w:p>
        </w:tc>
        <w:tc>
          <w:tcPr>
            <w:tcW w:w="57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027B83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Coeficientes de Modelo para Disponibilidad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027B83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153</w:t>
            </w:r>
          </w:p>
        </w:tc>
      </w:tr>
    </w:tbl>
    <w:p w:rsidR="00000000" w:rsidRDefault="00027B83">
      <w:pPr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br w:type="textWrapping" w:clear="all"/>
      </w:r>
    </w:p>
    <w:p w:rsidR="00000000" w:rsidRDefault="00027B83">
      <w:pPr>
        <w:rPr>
          <w:rFonts w:ascii="Arial" w:hAnsi="Arial" w:cs="Arial"/>
          <w:color w:val="auto"/>
          <w:sz w:val="18"/>
        </w:rPr>
      </w:pPr>
    </w:p>
    <w:p w:rsidR="00000000" w:rsidRDefault="00027B83">
      <w:pPr>
        <w:rPr>
          <w:rFonts w:ascii="Arial" w:hAnsi="Arial" w:cs="Arial"/>
          <w:color w:val="auto"/>
          <w:sz w:val="18"/>
        </w:rPr>
      </w:pPr>
    </w:p>
    <w:p w:rsidR="00027B83" w:rsidRDefault="00027B83">
      <w:pPr>
        <w:rPr>
          <w:rFonts w:ascii="Arial" w:hAnsi="Arial" w:cs="Arial"/>
          <w:color w:val="auto"/>
          <w:sz w:val="18"/>
        </w:rPr>
      </w:pPr>
    </w:p>
    <w:sectPr w:rsidR="00027B83">
      <w:headerReference w:type="even" r:id="rId7"/>
      <w:headerReference w:type="default" r:id="rId8"/>
      <w:pgSz w:w="11906" w:h="16838"/>
      <w:pgMar w:top="1417" w:right="1701" w:bottom="1417" w:left="1701" w:header="708" w:footer="708" w:gutter="0"/>
      <w:pgNumType w:fmt="upp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83" w:rsidRDefault="00027B83">
      <w:r>
        <w:separator/>
      </w:r>
    </w:p>
  </w:endnote>
  <w:endnote w:type="continuationSeparator" w:id="1">
    <w:p w:rsidR="00027B83" w:rsidRDefault="0002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83" w:rsidRDefault="00027B83">
      <w:r>
        <w:separator/>
      </w:r>
    </w:p>
  </w:footnote>
  <w:footnote w:type="continuationSeparator" w:id="1">
    <w:p w:rsidR="00027B83" w:rsidRDefault="0002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7B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027B8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7B83">
    <w:pPr>
      <w:pStyle w:val="Encabezado"/>
      <w:framePr w:wrap="around" w:vAnchor="text" w:hAnchor="margin" w:xAlign="right" w:y="1"/>
      <w:rPr>
        <w:rStyle w:val="Nmerodepgina"/>
        <w:rFonts w:ascii="Arial" w:hAnsi="Arial" w:cs="Arial"/>
        <w:color w:val="auto"/>
      </w:rPr>
    </w:pPr>
    <w:r>
      <w:rPr>
        <w:rStyle w:val="Nmerodepgina"/>
        <w:rFonts w:ascii="Arial" w:hAnsi="Arial" w:cs="Arial"/>
        <w:color w:val="auto"/>
      </w:rPr>
      <w:fldChar w:fldCharType="begin"/>
    </w:r>
    <w:r>
      <w:rPr>
        <w:rStyle w:val="Nmerodepgina"/>
        <w:rFonts w:ascii="Arial" w:hAnsi="Arial" w:cs="Arial"/>
        <w:color w:val="auto"/>
      </w:rPr>
      <w:instrText xml:space="preserve">PAGE  </w:instrText>
    </w:r>
    <w:r>
      <w:rPr>
        <w:rStyle w:val="Nmerodepgina"/>
        <w:rFonts w:ascii="Arial" w:hAnsi="Arial" w:cs="Arial"/>
        <w:color w:val="auto"/>
      </w:rPr>
      <w:fldChar w:fldCharType="separate"/>
    </w:r>
    <w:r w:rsidR="00E32DDE">
      <w:rPr>
        <w:rStyle w:val="Nmerodepgina"/>
        <w:rFonts w:ascii="Arial" w:hAnsi="Arial" w:cs="Arial"/>
        <w:noProof/>
        <w:color w:val="auto"/>
      </w:rPr>
      <w:t>XIV</w:t>
    </w:r>
    <w:r>
      <w:rPr>
        <w:rStyle w:val="Nmerodepgina"/>
        <w:rFonts w:ascii="Arial" w:hAnsi="Arial" w:cs="Arial"/>
        <w:color w:val="auto"/>
      </w:rPr>
      <w:fldChar w:fldCharType="end"/>
    </w:r>
  </w:p>
  <w:p w:rsidR="00000000" w:rsidRDefault="00027B83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DDE"/>
    <w:rsid w:val="00027B83"/>
    <w:rsid w:val="00E3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color w:val="FFFFFF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Cs/>
      <w:iCs/>
      <w:sz w:val="20"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FFCC00"/>
      <w:u w:val="single"/>
    </w:rPr>
  </w:style>
  <w:style w:type="character" w:styleId="Hipervnculovisitado">
    <w:name w:val="FollowedHyperlink"/>
    <w:basedOn w:val="Fuentedeprrafopredeter"/>
    <w:semiHidden/>
    <w:rPr>
      <w:color w:val="00CC00"/>
      <w:u w:val="single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auto"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3,1</vt:lpstr>
    </vt:vector>
  </TitlesOfParts>
  <Company>HOME</Company>
  <LinksUpToDate>false</LinksUpToDate>
  <CharactersWithSpaces>5491</CharactersWithSpaces>
  <SharedDoc>false</SharedDoc>
  <HLinks>
    <vt:vector size="6" baseType="variant">
      <vt:variant>
        <vt:i4>4259925</vt:i4>
      </vt:variant>
      <vt:variant>
        <vt:i4>-1</vt:i4>
      </vt:variant>
      <vt:variant>
        <vt:i4>1025</vt:i4>
      </vt:variant>
      <vt:variant>
        <vt:i4>0</vt:i4>
      </vt:variant>
      <vt:variant>
        <vt:lpwstr>C:\Archivos de programa\Archivos comunes\Microsoft Shared\Themes\highway\waybkgnd.gif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3,1</dc:title>
  <dc:subject/>
  <dc:creator>KATTY HELEN DELGADO</dc:creator>
  <cp:keywords/>
  <dc:description/>
  <cp:lastModifiedBy>Ayudante</cp:lastModifiedBy>
  <cp:revision>2</cp:revision>
  <dcterms:created xsi:type="dcterms:W3CDTF">2009-07-06T14:33:00Z</dcterms:created>
  <dcterms:modified xsi:type="dcterms:W3CDTF">2009-07-06T14:33:00Z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highway 011</vt:lpwstr>
  </property>
</Properties>
</file>